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AAE9" w14:textId="77777777" w:rsidR="00E27457" w:rsidRPr="00EE2291" w:rsidRDefault="00E27457" w:rsidP="00205AB9">
      <w:pPr>
        <w:spacing w:line="360" w:lineRule="auto"/>
        <w:rPr>
          <w:rFonts w:ascii="Arial" w:eastAsia="Times New Roman" w:hAnsi="Arial" w:cs="Arial"/>
          <w:b/>
        </w:rPr>
      </w:pPr>
      <w:bookmarkStart w:id="0" w:name="_GoBack"/>
      <w:bookmarkEnd w:id="0"/>
    </w:p>
    <w:p w14:paraId="17079446" w14:textId="77777777" w:rsidR="005747CF" w:rsidRPr="00EE2291" w:rsidRDefault="005747CF" w:rsidP="00205AB9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>TERMO DE ADITIVO AO CONTRATO Nº 0001/2020</w:t>
      </w:r>
    </w:p>
    <w:p w14:paraId="18CFFCED" w14:textId="77777777" w:rsidR="008A2DA8" w:rsidRPr="00EE2291" w:rsidRDefault="008A2DA8" w:rsidP="00205AB9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>DE FORNECIMENTO DE SERVIÇOS MÉDICOS E HOSPITALARES</w:t>
      </w:r>
    </w:p>
    <w:p w14:paraId="7E26CC1D" w14:textId="77777777" w:rsidR="005C5F58" w:rsidRPr="00EE2291" w:rsidRDefault="005C5F58" w:rsidP="00205AB9">
      <w:pPr>
        <w:spacing w:line="360" w:lineRule="auto"/>
        <w:jc w:val="center"/>
        <w:rPr>
          <w:rFonts w:ascii="Arial" w:hAnsi="Arial" w:cs="Arial"/>
        </w:rPr>
      </w:pPr>
    </w:p>
    <w:p w14:paraId="31716155" w14:textId="5A8CDF0E" w:rsidR="00ED6BB3" w:rsidRPr="00EE2291" w:rsidRDefault="005747CF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hAnsi="Arial" w:cs="Arial"/>
        </w:rPr>
        <w:t xml:space="preserve">Em decorrência do </w:t>
      </w:r>
      <w:r w:rsidRPr="00EE2291">
        <w:rPr>
          <w:rFonts w:ascii="Arial" w:hAnsi="Arial" w:cs="Arial"/>
          <w:b/>
        </w:rPr>
        <w:t xml:space="preserve">Processo Licitatório </w:t>
      </w:r>
      <w:r w:rsidRPr="00EE2291">
        <w:rPr>
          <w:rFonts w:ascii="Arial" w:eastAsia="Times New Roman" w:hAnsi="Arial" w:cs="Arial"/>
          <w:b/>
        </w:rPr>
        <w:t xml:space="preserve">Nº 0001/2020 - </w:t>
      </w:r>
      <w:r w:rsidRPr="00EE2291">
        <w:rPr>
          <w:rFonts w:ascii="Arial" w:hAnsi="Arial" w:cs="Arial"/>
          <w:b/>
        </w:rPr>
        <w:t>Pregão Presencial</w:t>
      </w:r>
      <w:r w:rsidR="008A2DA8" w:rsidRPr="00EE2291">
        <w:rPr>
          <w:rFonts w:ascii="Arial" w:eastAsia="Times New Roman" w:hAnsi="Arial" w:cs="Arial"/>
        </w:rPr>
        <w:t xml:space="preserve">, que fazem entre si, de um lado como </w:t>
      </w:r>
      <w:r w:rsidR="008A2DA8" w:rsidRPr="00EE2291">
        <w:rPr>
          <w:rFonts w:ascii="Arial" w:eastAsia="Times New Roman" w:hAnsi="Arial" w:cs="Arial"/>
          <w:b/>
        </w:rPr>
        <w:t>CONTRATADA</w:t>
      </w:r>
      <w:r w:rsidR="008A2DA8" w:rsidRPr="00EE2291">
        <w:rPr>
          <w:rFonts w:ascii="Arial" w:eastAsia="Times New Roman" w:hAnsi="Arial" w:cs="Arial"/>
        </w:rPr>
        <w:t xml:space="preserve"> </w:t>
      </w:r>
      <w:r w:rsidR="008A2DA8" w:rsidRPr="00EE2291">
        <w:rPr>
          <w:rFonts w:ascii="Arial" w:eastAsia="Times New Roman" w:hAnsi="Arial" w:cs="Arial"/>
          <w:b/>
        </w:rPr>
        <w:t>UNIMED DO ESTADO DE SANTA CATARINA – FEDERAÇÃO ESTADUAL DAS COOPERATIVAS MÉDICAS</w:t>
      </w:r>
      <w:r w:rsidR="008A2DA8" w:rsidRPr="00EE2291">
        <w:rPr>
          <w:rFonts w:ascii="Arial" w:eastAsia="Times New Roman" w:hAnsi="Arial" w:cs="Arial"/>
        </w:rPr>
        <w:t xml:space="preserve">, inscrita no CNPJ sob o nº 76.590.884/0001-43, com sede na Rua Otto Boehm, nº 478, Centro, na cidade de Joinville, Estado de Santa Catarina, neste </w:t>
      </w:r>
      <w:r w:rsidR="00205AB9" w:rsidRPr="00EE2291">
        <w:rPr>
          <w:rFonts w:ascii="Arial" w:eastAsia="Times New Roman" w:hAnsi="Arial" w:cs="Arial"/>
        </w:rPr>
        <w:t>ato representado na forma de seu Estatuto Social e do outro lado</w:t>
      </w:r>
      <w:r w:rsidR="008A2DA8" w:rsidRPr="00EE2291">
        <w:rPr>
          <w:rFonts w:ascii="Arial" w:eastAsia="Times New Roman" w:hAnsi="Arial" w:cs="Arial"/>
        </w:rPr>
        <w:t xml:space="preserve"> como </w:t>
      </w:r>
      <w:r w:rsidR="008A2DA8" w:rsidRPr="00EE2291">
        <w:rPr>
          <w:rFonts w:ascii="Arial" w:eastAsia="Times New Roman" w:hAnsi="Arial" w:cs="Arial"/>
          <w:b/>
        </w:rPr>
        <w:t xml:space="preserve">CONTRATANTE </w:t>
      </w:r>
      <w:r w:rsidR="00EE2291" w:rsidRPr="00EE2291">
        <w:rPr>
          <w:rFonts w:ascii="Arial" w:eastAsia="Times New Roman" w:hAnsi="Arial" w:cs="Arial"/>
          <w:b/>
        </w:rPr>
        <w:t xml:space="preserve">O FUNDO MUNICIPAL DE SAÚDE DOS SERVIDORES PÚBLICOS MUNICIPAIS DE </w:t>
      </w:r>
      <w:r w:rsidR="00A0177F" w:rsidRPr="00EE2291">
        <w:rPr>
          <w:rFonts w:ascii="Arial" w:eastAsia="Times New Roman" w:hAnsi="Arial" w:cs="Arial"/>
          <w:b/>
        </w:rPr>
        <w:t>ARROIO TRINTA</w:t>
      </w:r>
      <w:r w:rsidR="008A2DA8" w:rsidRPr="00EE2291">
        <w:rPr>
          <w:rFonts w:ascii="Arial" w:eastAsia="Times New Roman" w:hAnsi="Arial" w:cs="Arial"/>
          <w:b/>
        </w:rPr>
        <w:t xml:space="preserve">, </w:t>
      </w:r>
      <w:r w:rsidR="008A2DA8" w:rsidRPr="00EE2291">
        <w:rPr>
          <w:rFonts w:ascii="Arial" w:eastAsia="Times New Roman" w:hAnsi="Arial" w:cs="Arial"/>
        </w:rPr>
        <w:t xml:space="preserve">pessoa jurídica de direito privado, inscrita no CNPJ sob o n.º </w:t>
      </w:r>
      <w:r w:rsidRPr="00EE2291">
        <w:rPr>
          <w:rFonts w:ascii="Arial" w:eastAsia="Times New Roman" w:hAnsi="Arial" w:cs="Arial"/>
        </w:rPr>
        <w:t>82.826.462/0001-27</w:t>
      </w:r>
      <w:r w:rsidR="008A2DA8" w:rsidRPr="00EE2291">
        <w:rPr>
          <w:rFonts w:ascii="Arial" w:eastAsia="Times New Roman" w:hAnsi="Arial" w:cs="Arial"/>
        </w:rPr>
        <w:t xml:space="preserve">, com sede na </w:t>
      </w:r>
      <w:r w:rsidRPr="00EE2291">
        <w:rPr>
          <w:rFonts w:ascii="Arial" w:eastAsia="Times New Roman" w:hAnsi="Arial" w:cs="Arial"/>
        </w:rPr>
        <w:t xml:space="preserve">RUA XV DE NOVEMBRO, 26, CENTRO </w:t>
      </w:r>
      <w:r w:rsidR="008A2DA8" w:rsidRPr="00EE2291">
        <w:rPr>
          <w:rFonts w:ascii="Arial" w:eastAsia="Times New Roman" w:hAnsi="Arial" w:cs="Arial"/>
        </w:rPr>
        <w:t xml:space="preserve">na Cidade de </w:t>
      </w:r>
      <w:r w:rsidRPr="00EE2291">
        <w:rPr>
          <w:rFonts w:ascii="Arial" w:eastAsia="Times New Roman" w:hAnsi="Arial" w:cs="Arial"/>
        </w:rPr>
        <w:t>ARROIO TRINTA</w:t>
      </w:r>
      <w:r w:rsidR="00E27457" w:rsidRPr="00EE2291">
        <w:rPr>
          <w:rFonts w:ascii="Arial" w:eastAsia="Times New Roman" w:hAnsi="Arial" w:cs="Arial"/>
        </w:rPr>
        <w:t xml:space="preserve"> no</w:t>
      </w:r>
      <w:r w:rsidR="008A2DA8" w:rsidRPr="00EE2291">
        <w:rPr>
          <w:rFonts w:ascii="Arial" w:eastAsia="Times New Roman" w:hAnsi="Arial" w:cs="Arial"/>
        </w:rPr>
        <w:t xml:space="preserve"> Estado de </w:t>
      </w:r>
      <w:r w:rsidRPr="00EE2291">
        <w:rPr>
          <w:rFonts w:ascii="Arial" w:eastAsia="Times New Roman" w:hAnsi="Arial" w:cs="Arial"/>
        </w:rPr>
        <w:t>SANTA CATARINA</w:t>
      </w:r>
      <w:r w:rsidR="00205AB9" w:rsidRPr="00EE2291">
        <w:rPr>
          <w:rFonts w:ascii="Arial" w:eastAsia="Times New Roman" w:hAnsi="Arial" w:cs="Arial"/>
        </w:rPr>
        <w:t>,</w:t>
      </w:r>
      <w:r w:rsidR="00B51CC1" w:rsidRPr="00EE2291">
        <w:rPr>
          <w:rFonts w:ascii="Arial" w:eastAsia="Times New Roman" w:hAnsi="Arial" w:cs="Arial"/>
        </w:rPr>
        <w:t xml:space="preserve"> </w:t>
      </w:r>
      <w:r w:rsidR="008A2DA8" w:rsidRPr="00EE2291">
        <w:rPr>
          <w:rFonts w:ascii="Arial" w:eastAsia="Times New Roman" w:hAnsi="Arial" w:cs="Arial"/>
        </w:rPr>
        <w:t xml:space="preserve">neste ato representado por seus representantes legais, decidem de comum acordo, aditar o Contrato de Assistência à </w:t>
      </w:r>
      <w:r w:rsidR="00205AB9" w:rsidRPr="00EE2291">
        <w:rPr>
          <w:rFonts w:ascii="Arial" w:eastAsia="Times New Roman" w:hAnsi="Arial" w:cs="Arial"/>
        </w:rPr>
        <w:t>Saúde</w:t>
      </w:r>
      <w:r w:rsidR="00EE2291" w:rsidRPr="00EE2291">
        <w:rPr>
          <w:rFonts w:ascii="Arial" w:eastAsia="Times New Roman" w:hAnsi="Arial" w:cs="Arial"/>
        </w:rPr>
        <w:t xml:space="preserve"> N° 0001/2021</w:t>
      </w:r>
      <w:r w:rsidR="00205AB9" w:rsidRPr="00EE2291">
        <w:rPr>
          <w:rFonts w:ascii="Arial" w:eastAsia="Times New Roman" w:hAnsi="Arial" w:cs="Arial"/>
        </w:rPr>
        <w:t xml:space="preserve"> firmada na data de 01/02/2021</w:t>
      </w:r>
      <w:r w:rsidR="005C5F58" w:rsidRPr="00EE2291">
        <w:rPr>
          <w:rFonts w:ascii="Arial" w:eastAsia="Times New Roman" w:hAnsi="Arial" w:cs="Arial"/>
        </w:rPr>
        <w:t>.</w:t>
      </w:r>
    </w:p>
    <w:p w14:paraId="65AFC9D3" w14:textId="77777777" w:rsidR="00A0177F" w:rsidRPr="00EE2291" w:rsidRDefault="00A0177F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23DE9C97" w14:textId="77777777" w:rsidR="008A2DA8" w:rsidRPr="00EE2291" w:rsidRDefault="008A2DA8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 xml:space="preserve">CLÁUSULA PRIMEIRA – </w:t>
      </w:r>
      <w:r w:rsidR="00A0177F" w:rsidRPr="00EE2291">
        <w:rPr>
          <w:rFonts w:ascii="Arial" w:eastAsia="Times New Roman" w:hAnsi="Arial" w:cs="Arial"/>
          <w:b/>
        </w:rPr>
        <w:t>PERÍODO DE CARÊNCIA</w:t>
      </w:r>
    </w:p>
    <w:p w14:paraId="2E2A06C7" w14:textId="77777777" w:rsidR="00205AB9" w:rsidRPr="00EE2291" w:rsidRDefault="00205AB9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1D52C36E" w14:textId="77777777" w:rsidR="00106F54" w:rsidRPr="00EE2291" w:rsidRDefault="00A0177F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 xml:space="preserve">A cláusula 7ª do contrato firmado que se trata do número de participantes para isenção de carência passa a </w:t>
      </w:r>
      <w:r w:rsidR="00106F54" w:rsidRPr="00EE2291">
        <w:rPr>
          <w:rFonts w:ascii="Arial" w:eastAsia="Times New Roman" w:hAnsi="Arial" w:cs="Arial"/>
        </w:rPr>
        <w:t>vigorar da seguinte forma:</w:t>
      </w:r>
    </w:p>
    <w:p w14:paraId="0B202336" w14:textId="77777777" w:rsidR="00205AB9" w:rsidRPr="00EE2291" w:rsidRDefault="00205AB9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6AF396B2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Não será exigido o cumprimento dos períodos de carências nos contratos com número de participantes igual ou superior a 30 (trinta) beneficiários, desde que o pedido de ingresso do titular e seus dependentes no plano seja formalizado à Contratada:</w:t>
      </w:r>
    </w:p>
    <w:p w14:paraId="1DE920D4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139D29BA" w14:textId="77777777" w:rsidR="00106F54" w:rsidRPr="00EE2291" w:rsidRDefault="00106F54" w:rsidP="00205AB9">
      <w:pPr>
        <w:spacing w:line="360" w:lineRule="auto"/>
        <w:ind w:left="1440" w:hanging="360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1.      Em até 30 dias da celebração do contrato; ou</w:t>
      </w:r>
    </w:p>
    <w:p w14:paraId="0F568DB4" w14:textId="77777777" w:rsidR="00106F54" w:rsidRPr="00EE2291" w:rsidRDefault="00106F54" w:rsidP="00205AB9">
      <w:pPr>
        <w:spacing w:line="360" w:lineRule="auto"/>
        <w:ind w:left="1440" w:hanging="360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 xml:space="preserve">2.      Em até 30 dias da vinculação do titular à pessoa jurídica Contratante. </w:t>
      </w:r>
    </w:p>
    <w:p w14:paraId="0686F0A9" w14:textId="77777777" w:rsidR="00A0177F" w:rsidRPr="00EE2291" w:rsidRDefault="00A0177F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 xml:space="preserve"> </w:t>
      </w:r>
    </w:p>
    <w:p w14:paraId="01CB34B4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 xml:space="preserve">Na eventualidade da redução do número de beneficiários inscritos para menos de 30 (trinta), as novas inclusões, ainda que formalizadas dentro do prazo de </w:t>
      </w:r>
      <w:r w:rsidRPr="00EE2291">
        <w:rPr>
          <w:rFonts w:ascii="Arial" w:eastAsia="Times New Roman" w:hAnsi="Arial" w:cs="Arial"/>
        </w:rPr>
        <w:lastRenderedPageBreak/>
        <w:t>30 dias da vinculação do titular à pessoa jurídica Contratante, passam a cumprir as carências normais estabelecidas nesta cláusula.</w:t>
      </w:r>
    </w:p>
    <w:p w14:paraId="6BB17E6F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134C4624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>CLÁUSULA SEGUNDA  – DOENÇAS E LESÕES PREEXISTENTES</w:t>
      </w:r>
    </w:p>
    <w:p w14:paraId="702B8727" w14:textId="77777777" w:rsidR="00205AB9" w:rsidRPr="00EE2291" w:rsidRDefault="00205AB9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50ECC639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A cláusula 8ª do contrato firmado que se trata do número de participantes referente a cobertura de doenças ou lesões preexistentes passa a vigorar da seguinte forma:</w:t>
      </w:r>
    </w:p>
    <w:p w14:paraId="267D57A5" w14:textId="77777777" w:rsidR="00A0177F" w:rsidRPr="00EE2291" w:rsidRDefault="00A0177F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31980DBD" w14:textId="77777777" w:rsidR="00106F54" w:rsidRPr="00EE2291" w:rsidRDefault="00106F54" w:rsidP="00205AB9">
      <w:pPr>
        <w:spacing w:line="360" w:lineRule="auto"/>
        <w:ind w:left="284" w:hanging="284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a.  Número de participantes menor que 30 (trinta) – Com análise de Doença e Lesão Preexistente; e</w:t>
      </w:r>
    </w:p>
    <w:p w14:paraId="3153D95D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b. Número de participantes maior ou igual a 30 (trinta) - Sem análise de Doença e Lesão Preexistente,  desde que o pedido de ingresso do titular e seus dependentes no plano, seja formalizado à Contratada:</w:t>
      </w:r>
    </w:p>
    <w:p w14:paraId="78C6861F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73143C15" w14:textId="77777777" w:rsidR="00106F54" w:rsidRPr="00EE2291" w:rsidRDefault="00106F54" w:rsidP="00205AB9">
      <w:pPr>
        <w:spacing w:line="360" w:lineRule="auto"/>
        <w:ind w:left="1440" w:hanging="360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1.      Em até 30 dias da celebração do contrato; ou</w:t>
      </w:r>
    </w:p>
    <w:p w14:paraId="6A51F653" w14:textId="77777777" w:rsidR="00106F54" w:rsidRPr="00EE2291" w:rsidRDefault="00106F54" w:rsidP="00205AB9">
      <w:pPr>
        <w:spacing w:line="360" w:lineRule="auto"/>
        <w:ind w:left="1440" w:hanging="360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2.      Em até 30 dias da vinculação do titular à pessoa jurídica Contratante.</w:t>
      </w:r>
    </w:p>
    <w:p w14:paraId="6563C25D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3F245F6C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O prazo de 30 dias da vinculação do titular à pessoa jurídica contratante será contado a partir do 1º dia subsequente ao vencimento do contrato de experiência com prazo determinado.</w:t>
      </w:r>
    </w:p>
    <w:p w14:paraId="716D92D0" w14:textId="77777777" w:rsidR="00B51CC1" w:rsidRPr="00EE2291" w:rsidRDefault="00B51CC1" w:rsidP="00205AB9">
      <w:pPr>
        <w:spacing w:line="360" w:lineRule="auto"/>
        <w:jc w:val="both"/>
        <w:rPr>
          <w:rFonts w:ascii="Arial" w:eastAsia="Times New Roman" w:hAnsi="Arial" w:cs="Arial"/>
        </w:rPr>
      </w:pPr>
    </w:p>
    <w:p w14:paraId="13A63AF0" w14:textId="77777777" w:rsidR="00106F54" w:rsidRPr="00EE2291" w:rsidRDefault="00106F54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Na eventualidade da redução do número de beneficiários inscritos para menos de 30 (trinta), as novas inclusões, ainda que formalizadas dentro do prazo de 30 dias da vinculação do titular à pessoa jurídica Contratante, ficam sujeitas à análise de Doença ou Lesão Preexistente. </w:t>
      </w:r>
    </w:p>
    <w:p w14:paraId="233D0239" w14:textId="77777777" w:rsidR="00526EF9" w:rsidRPr="00EE2291" w:rsidRDefault="00526EF9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768B0691" w14:textId="77777777" w:rsidR="00526EF9" w:rsidRPr="00EE2291" w:rsidRDefault="00526EF9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>CLÁUSULA TERCEIRA – REAJUSTE</w:t>
      </w:r>
    </w:p>
    <w:p w14:paraId="4E87DBEA" w14:textId="77777777" w:rsidR="00205AB9" w:rsidRPr="00EE2291" w:rsidRDefault="00205AB9" w:rsidP="00205AB9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4D0C87EF" w14:textId="77777777" w:rsidR="00526EF9" w:rsidRPr="00EE2291" w:rsidRDefault="00526EF9" w:rsidP="00205AB9">
      <w:pPr>
        <w:spacing w:line="360" w:lineRule="auto"/>
        <w:jc w:val="both"/>
        <w:rPr>
          <w:rFonts w:ascii="Arial" w:eastAsia="Times New Roman" w:hAnsi="Arial" w:cs="Arial"/>
        </w:rPr>
      </w:pPr>
      <w:r w:rsidRPr="00EE2291">
        <w:rPr>
          <w:rFonts w:ascii="Arial" w:eastAsia="Times New Roman" w:hAnsi="Arial" w:cs="Arial"/>
        </w:rPr>
        <w:t>A cláusula 12ª do contrato firmado que se trata do número de participantes para fins de apuração do percentual de reajuste passa a vigorar da seguinte forma:</w:t>
      </w:r>
    </w:p>
    <w:p w14:paraId="74C7B330" w14:textId="77777777" w:rsidR="00205AB9" w:rsidRPr="00EE2291" w:rsidRDefault="00205AB9" w:rsidP="00205AB9">
      <w:pPr>
        <w:spacing w:line="360" w:lineRule="auto"/>
        <w:jc w:val="both"/>
        <w:rPr>
          <w:rFonts w:ascii="Arial" w:hAnsi="Arial" w:cs="Arial"/>
        </w:rPr>
      </w:pPr>
    </w:p>
    <w:p w14:paraId="2C3230B3" w14:textId="77777777" w:rsidR="00205AB9" w:rsidRPr="00EE2291" w:rsidRDefault="00205AB9" w:rsidP="00205AB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lastRenderedPageBreak/>
        <w:t>Contrato com 30 (trinta) ou mais beneficiários:</w:t>
      </w:r>
    </w:p>
    <w:p w14:paraId="1C830B09" w14:textId="77777777" w:rsidR="00205AB9" w:rsidRPr="00EE2291" w:rsidRDefault="00205AB9" w:rsidP="00205AB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4B2119" w14:textId="77777777" w:rsidR="00205AB9" w:rsidRPr="00EE2291" w:rsidRDefault="00205AB9" w:rsidP="00205A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Reajuste conforme a variação positiva do IPCA (Índice Nacional de Preços ao Consumidor Amplo), ou por outro índice que o substitua no caso de sua extinção, acumulado no período de análise do contrato (a cada doze meses, contados a partir do início da vigência), somado ao Índice de Reajuste Técnico – IRT%, apurado no período, caso a sinistralidade do(s) contrato(s) da Contratante atinja patamar superior a 70% (setenta por cento), seguindo os parâmetros abaixo:</w:t>
      </w:r>
    </w:p>
    <w:p w14:paraId="5F41AB33" w14:textId="77777777" w:rsidR="00205AB9" w:rsidRPr="00EE2291" w:rsidRDefault="00205AB9" w:rsidP="00205AB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551ABAD" w14:textId="77777777" w:rsidR="00205AB9" w:rsidRPr="00EE2291" w:rsidRDefault="00205AB9" w:rsidP="00205AB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 xml:space="preserve">O IPCA, Índice de Reajuste Técnico e Sinistralidade serão apurados no período de 12 meses consecutivos, com uma defasagem de 4 (quatro) meses em relação ao início do período de aplicação do reajuste do contrato. </w:t>
      </w:r>
    </w:p>
    <w:p w14:paraId="5933F81E" w14:textId="77777777" w:rsidR="00205AB9" w:rsidRPr="00EE2291" w:rsidRDefault="00205AB9" w:rsidP="00205AB9">
      <w:pPr>
        <w:pStyle w:val="PargrafodaLista"/>
        <w:spacing w:after="0" w:line="360" w:lineRule="auto"/>
        <w:ind w:left="993" w:hanging="284"/>
        <w:jc w:val="both"/>
        <w:rPr>
          <w:rFonts w:ascii="Arial" w:hAnsi="Arial" w:cs="Arial"/>
          <w:iCs/>
          <w:sz w:val="24"/>
          <w:szCs w:val="24"/>
        </w:rPr>
      </w:pPr>
    </w:p>
    <w:p w14:paraId="39C282DF" w14:textId="77777777" w:rsidR="00205AB9" w:rsidRPr="00EE2291" w:rsidRDefault="00205AB9" w:rsidP="00205AB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>O cálculo do Índice de Reajuste Técnico – IRT será realizado com base na seguinte fórmula:</w:t>
      </w:r>
    </w:p>
    <w:p w14:paraId="76237508" w14:textId="77777777" w:rsidR="00205AB9" w:rsidRPr="00EE2291" w:rsidRDefault="00205AB9" w:rsidP="00205AB9">
      <w:pPr>
        <w:pStyle w:val="PargrafodaLista"/>
        <w:spacing w:after="0" w:line="360" w:lineRule="auto"/>
        <w:rPr>
          <w:rFonts w:ascii="Arial" w:hAnsi="Arial" w:cs="Arial"/>
          <w:iCs/>
          <w:sz w:val="24"/>
          <w:szCs w:val="24"/>
        </w:rPr>
      </w:pPr>
    </w:p>
    <w:p w14:paraId="494DB3CF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>  IRT%=</m:t>
          </m:r>
          <m:d>
            <m:dPr>
              <m:ctrlPr>
                <w:rPr>
                  <w:rFonts w:ascii="Cambria Math" w:eastAsia="Calibri" w:hAnsi="Cambria Math" w:cs="Arial"/>
                  <w:bdr w:val="single" w:sz="8" w:space="0" w:color="auto" w:frame="1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dr w:val="single" w:sz="8" w:space="0" w:color="auto" w:frame="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Sinistralidade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70%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bdr w:val="single" w:sz="8" w:space="0" w:color="auto" w:frame="1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 xml:space="preserve">*100    </m:t>
          </m:r>
        </m:oMath>
      </m:oMathPara>
    </w:p>
    <w:p w14:paraId="44F7E870" w14:textId="77777777" w:rsidR="00205AB9" w:rsidRPr="00EE2291" w:rsidRDefault="00205AB9" w:rsidP="00205AB9">
      <w:pPr>
        <w:spacing w:line="360" w:lineRule="auto"/>
        <w:ind w:left="851"/>
        <w:jc w:val="both"/>
        <w:rPr>
          <w:rFonts w:ascii="Arial" w:hAnsi="Arial" w:cs="Arial"/>
          <w:iCs/>
        </w:rPr>
      </w:pPr>
    </w:p>
    <w:p w14:paraId="759CDB2A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 xml:space="preserve">Onde, </w:t>
      </w:r>
    </w:p>
    <w:p w14:paraId="1D90C93B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Sinistralidade</w:t>
      </w:r>
      <w:r w:rsidRPr="00EE2291">
        <w:rPr>
          <w:rFonts w:ascii="Arial" w:hAnsi="Arial" w:cs="Arial"/>
          <w:iCs/>
        </w:rPr>
        <w:t>: é o índice resultante da divisão entre as despesas com atendimento à saúde dos beneficiários pelas receitas com contraprestações do período.</w:t>
      </w:r>
    </w:p>
    <w:p w14:paraId="5684905C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>A multiplicação por 100 é apenas para transformar o índice em percentual.</w:t>
      </w:r>
    </w:p>
    <w:p w14:paraId="36A2EE8B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</w:p>
    <w:p w14:paraId="23A60B29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 xml:space="preserve">      Sinistralidade  </m:t>
          </m:r>
          <m:d>
            <m:dPr>
              <m:ctrlPr>
                <w:rPr>
                  <w:rFonts w:ascii="Cambria Math" w:eastAsia="Calibri" w:hAnsi="Cambria Math" w:cs="Arial"/>
                  <w:bdr w:val="single" w:sz="8" w:space="0" w:color="auto" w:frame="1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dr w:val="single" w:sz="8" w:space="0" w:color="auto" w:frame="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Despesa Assistencial-Coparticipação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Receitas Líquidas do Plano</m:t>
                  </m:r>
                </m:den>
              </m:f>
            </m:e>
          </m:d>
          <m:r>
            <w:rPr>
              <w:rFonts w:ascii="Cambria Math" w:hAnsi="Cambria Math" w:cs="Arial"/>
              <w:bdr w:val="single" w:sz="8" w:space="0" w:color="auto" w:frame="1"/>
            </w:rPr>
            <m:t>*100</m:t>
          </m:r>
        </m:oMath>
      </m:oMathPara>
    </w:p>
    <w:p w14:paraId="3406F45E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>Onde,</w:t>
      </w:r>
    </w:p>
    <w:p w14:paraId="09D99723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Despesa Assistencial</w:t>
      </w:r>
      <w:r w:rsidRPr="00EE2291">
        <w:rPr>
          <w:rFonts w:ascii="Arial" w:hAnsi="Arial" w:cs="Arial"/>
          <w:iCs/>
        </w:rPr>
        <w:t>: Soma de todas as Despesas assistências no período com prestadores, fornecedores de serviços em saúde, reembolso, ressarcimento ao SUS e processos judiciais dessa natureza.</w:t>
      </w:r>
    </w:p>
    <w:p w14:paraId="7B87DD26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Coparticipação</w:t>
      </w:r>
      <w:r w:rsidRPr="00EE2291">
        <w:rPr>
          <w:rFonts w:ascii="Arial" w:hAnsi="Arial" w:cs="Arial"/>
          <w:iCs/>
        </w:rPr>
        <w:t>: Soma de todos os valores de Coparticipação do período.</w:t>
      </w:r>
    </w:p>
    <w:p w14:paraId="263BE6EE" w14:textId="77777777" w:rsidR="00205AB9" w:rsidRPr="00EE2291" w:rsidRDefault="00205AB9" w:rsidP="00205AB9">
      <w:pPr>
        <w:spacing w:line="360" w:lineRule="auto"/>
        <w:ind w:left="708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Receitas Líquidas do Plano</w:t>
      </w:r>
      <w:r w:rsidRPr="00EE2291">
        <w:rPr>
          <w:rFonts w:ascii="Arial" w:hAnsi="Arial" w:cs="Arial"/>
          <w:iCs/>
        </w:rPr>
        <w:t>: Soma de todos os valores de Contraprestações do período.</w:t>
      </w:r>
    </w:p>
    <w:p w14:paraId="6316F021" w14:textId="77777777" w:rsidR="00205AB9" w:rsidRPr="00EE2291" w:rsidRDefault="00205AB9" w:rsidP="00205AB9">
      <w:pPr>
        <w:spacing w:line="360" w:lineRule="auto"/>
        <w:ind w:left="1429"/>
        <w:jc w:val="both"/>
        <w:rPr>
          <w:rFonts w:ascii="Arial" w:hAnsi="Arial" w:cs="Arial"/>
          <w:iCs/>
        </w:rPr>
      </w:pPr>
    </w:p>
    <w:p w14:paraId="0207209F" w14:textId="77777777" w:rsidR="00205AB9" w:rsidRPr="00EE2291" w:rsidRDefault="00205AB9" w:rsidP="00205AB9">
      <w:pPr>
        <w:widowControl/>
        <w:numPr>
          <w:ilvl w:val="0"/>
          <w:numId w:val="8"/>
        </w:numPr>
        <w:suppressAutoHyphens w:val="0"/>
        <w:autoSpaceDE/>
        <w:autoSpaceDN/>
        <w:adjustRightInd/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hAnsi="Arial" w:cs="Arial"/>
          <w:iCs/>
        </w:rPr>
        <w:t xml:space="preserve">Portanto, quando a sinistralidade do contrato superar o patamar de 70% (setenta por cento) o índice de reajuste contratual será composto pela soma do índice de reajuste técnico e do </w:t>
      </w:r>
      <w:r w:rsidRPr="00EE2291">
        <w:rPr>
          <w:rFonts w:ascii="Arial" w:hAnsi="Arial" w:cs="Arial"/>
        </w:rPr>
        <w:t>IPCA – Índice Nacional de Preços ao Consumidor Amplo</w:t>
      </w:r>
      <w:r w:rsidRPr="00EE2291">
        <w:rPr>
          <w:rFonts w:ascii="Arial" w:hAnsi="Arial" w:cs="Arial"/>
          <w:iCs/>
        </w:rPr>
        <w:t>, (IRT% +IPCA).</w:t>
      </w:r>
    </w:p>
    <w:p w14:paraId="667B2630" w14:textId="77777777" w:rsidR="00205AB9" w:rsidRPr="00EE2291" w:rsidRDefault="00205AB9" w:rsidP="00205AB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74E2A6" w14:textId="77777777" w:rsidR="00205AB9" w:rsidRPr="00EE2291" w:rsidRDefault="00205AB9" w:rsidP="00205AB9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A apuração de beneficiários será realizada anualmente conforme parâmetros abaixo: </w:t>
      </w:r>
    </w:p>
    <w:p w14:paraId="2827B14E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Na primeira apuração será considerada a quantidade de beneficiários na assinatura do contrato;</w:t>
      </w:r>
    </w:p>
    <w:p w14:paraId="15C9BD41" w14:textId="77777777" w:rsidR="00205AB9" w:rsidRPr="00EE2291" w:rsidRDefault="00205AB9" w:rsidP="00205AB9">
      <w:pPr>
        <w:pStyle w:val="PargrafodaLista"/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</w:p>
    <w:p w14:paraId="776E17C3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Para as apurações seguintes, será considerada a quantidade de beneficiários no último aniversário do contrato. </w:t>
      </w:r>
    </w:p>
    <w:p w14:paraId="742C3165" w14:textId="77777777" w:rsidR="00205AB9" w:rsidRPr="00EE2291" w:rsidRDefault="00205AB9" w:rsidP="00205AB9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14:paraId="5E6FDFA2" w14:textId="77777777" w:rsidR="00205AB9" w:rsidRPr="00EE2291" w:rsidRDefault="00205AB9" w:rsidP="00205AB9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Contrato com menos de 30 (trinta) beneficiários:</w:t>
      </w:r>
    </w:p>
    <w:p w14:paraId="04E33215" w14:textId="77777777" w:rsidR="00205AB9" w:rsidRPr="00EE2291" w:rsidRDefault="00205AB9" w:rsidP="00205AB9">
      <w:pPr>
        <w:spacing w:line="360" w:lineRule="auto"/>
        <w:jc w:val="both"/>
        <w:rPr>
          <w:rFonts w:ascii="Arial" w:hAnsi="Arial" w:cs="Arial"/>
          <w:b/>
        </w:rPr>
      </w:pPr>
    </w:p>
    <w:p w14:paraId="1B04F625" w14:textId="77777777" w:rsidR="00205AB9" w:rsidRPr="00EE2291" w:rsidRDefault="00205AB9" w:rsidP="00205AB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Quando o número de beneficiários do contrato for inferior a 30 (trinta), o reajuste anual será apurado considerando o agrupamento de todos os contratos coletivos da Contratada com menos de 30 (trinta) beneficiários, conforme estabelecido em Resolução Normativa da Agência Nacional de Saúde Suplementar. A apuração de beneficiários será realizada anualmente conforme parâmetros abaixo: </w:t>
      </w:r>
    </w:p>
    <w:p w14:paraId="2863AADB" w14:textId="77777777" w:rsidR="00205AB9" w:rsidRPr="00EE2291" w:rsidRDefault="00205AB9" w:rsidP="00205AB9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9E5CFE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Na primeira apuração será considerada a quantidade de beneficiários na assinatura do contrato;</w:t>
      </w:r>
    </w:p>
    <w:p w14:paraId="6062300C" w14:textId="77777777" w:rsidR="00205AB9" w:rsidRPr="00EE2291" w:rsidRDefault="00205AB9" w:rsidP="00205AB9">
      <w:pPr>
        <w:pStyle w:val="PargrafodaLista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31DA29E8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Para as apurações seguintes, será considerada a quantidade de beneficiários no último aniversário do contrato. </w:t>
      </w:r>
    </w:p>
    <w:p w14:paraId="19867230" w14:textId="77777777" w:rsidR="00205AB9" w:rsidRPr="00EE2291" w:rsidRDefault="00205AB9" w:rsidP="00205AB9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5D76B29" w14:textId="77777777" w:rsidR="00205AB9" w:rsidRPr="00EE2291" w:rsidRDefault="00205AB9" w:rsidP="00205AB9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O índice de reajuste para contratos com menos de 30 (trinta) beneficiários será em conformidade com o IGPM (Índice Geral de Preços de Mercado – FGV), ou por outro que o substitua no caso de sua extinção, somado ao Índice de Reajuste Técnico - IRT, caso a sinistralidade do agrupamento de contratos atinja patamar superior a 70% (setenta por cento), seguindo os parâmetros abaixo: </w:t>
      </w:r>
    </w:p>
    <w:p w14:paraId="4436E7ED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 xml:space="preserve">O IGPM e o Índice de Reajuste Técnico </w:t>
      </w:r>
      <w:r w:rsidRPr="00EE2291">
        <w:rPr>
          <w:rFonts w:ascii="Arial" w:hAnsi="Arial" w:cs="Arial"/>
          <w:iCs/>
          <w:sz w:val="24"/>
          <w:szCs w:val="24"/>
        </w:rPr>
        <w:t>e a Sinistralidade do agrupamento</w:t>
      </w:r>
      <w:r w:rsidRPr="00EE2291">
        <w:rPr>
          <w:rFonts w:ascii="Arial" w:hAnsi="Arial" w:cs="Arial"/>
          <w:sz w:val="24"/>
          <w:szCs w:val="24"/>
        </w:rPr>
        <w:t xml:space="preserve"> serão apurados no período de 12 meses consecutivos, com uma defasagem de 4 (quatro) meses em relação ao início do período de vigência do reajuste do agrupamento.</w:t>
      </w:r>
    </w:p>
    <w:p w14:paraId="096C3562" w14:textId="77777777" w:rsidR="00205AB9" w:rsidRPr="00EE2291" w:rsidRDefault="00205AB9" w:rsidP="00205AB9">
      <w:pPr>
        <w:pStyle w:val="PargrafodaLista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1748B29E" w14:textId="77777777" w:rsidR="00205AB9" w:rsidRPr="00EE2291" w:rsidRDefault="00205AB9" w:rsidP="001520D6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O cálculo do Índice de Reajuste Técnico – IRT será realizado com base na seguinte fórmula:</w:t>
      </w:r>
    </w:p>
    <w:p w14:paraId="5AF90BD9" w14:textId="77777777" w:rsidR="00205AB9" w:rsidRPr="00EE2291" w:rsidRDefault="00205AB9" w:rsidP="00205AB9">
      <w:pPr>
        <w:pStyle w:val="PargrafodaLista"/>
        <w:spacing w:after="0" w:line="360" w:lineRule="auto"/>
        <w:rPr>
          <w:rFonts w:ascii="Arial" w:hAnsi="Arial" w:cs="Arial"/>
          <w:i/>
          <w:iCs/>
          <w:sz w:val="24"/>
          <w:szCs w:val="24"/>
        </w:rPr>
      </w:pPr>
    </w:p>
    <w:p w14:paraId="1F48635E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>  IRT%=</m:t>
          </m:r>
          <m:d>
            <m:dPr>
              <m:ctrlPr>
                <w:rPr>
                  <w:rFonts w:ascii="Cambria Math" w:eastAsia="Calibri" w:hAnsi="Cambria Math" w:cs="Arial"/>
                  <w:bdr w:val="single" w:sz="8" w:space="0" w:color="auto" w:frame="1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dr w:val="single" w:sz="8" w:space="0" w:color="auto" w:frame="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Sinistralidade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70%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bdr w:val="single" w:sz="8" w:space="0" w:color="auto" w:frame="1"/>
                </w:rPr>
                <m:t>-1</m:t>
              </m:r>
            </m:e>
          </m:d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>*</m:t>
          </m:r>
          <m:r>
            <w:rPr>
              <w:rFonts w:ascii="Cambria Math" w:hAnsi="Cambria Math" w:cs="Arial"/>
              <w:bdr w:val="single" w:sz="8" w:space="0" w:color="auto" w:frame="1"/>
            </w:rPr>
            <m:t xml:space="preserve">100    </m:t>
          </m:r>
        </m:oMath>
      </m:oMathPara>
    </w:p>
    <w:p w14:paraId="3718D754" w14:textId="77777777" w:rsidR="00205AB9" w:rsidRPr="00EE2291" w:rsidRDefault="00205AB9" w:rsidP="00205AB9">
      <w:pPr>
        <w:spacing w:line="360" w:lineRule="auto"/>
        <w:ind w:left="851"/>
        <w:jc w:val="both"/>
        <w:rPr>
          <w:rFonts w:ascii="Arial" w:hAnsi="Arial" w:cs="Arial"/>
          <w:iCs/>
        </w:rPr>
      </w:pPr>
    </w:p>
    <w:p w14:paraId="4F09849C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 xml:space="preserve">Onde, </w:t>
      </w:r>
    </w:p>
    <w:p w14:paraId="3B313F5F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Sinistralidade</w:t>
      </w:r>
      <w:r w:rsidRPr="00EE2291">
        <w:rPr>
          <w:rFonts w:ascii="Arial" w:hAnsi="Arial" w:cs="Arial"/>
          <w:b/>
          <w:iCs/>
        </w:rPr>
        <w:t>:</w:t>
      </w:r>
      <w:r w:rsidRPr="00EE2291">
        <w:rPr>
          <w:rFonts w:ascii="Arial" w:hAnsi="Arial" w:cs="Arial"/>
          <w:iCs/>
        </w:rPr>
        <w:t xml:space="preserve"> é o índice resultante da divisão entre as despesas com atendimento à saúde dos beneficiários do agrupamento, pelas receitas com contraprestações do agrupamento.</w:t>
      </w:r>
    </w:p>
    <w:p w14:paraId="6B58EC29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>A multiplicação por 100 é apenas para transformar o índice em percentual.</w:t>
      </w:r>
    </w:p>
    <w:p w14:paraId="4D68DA21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</w:p>
    <w:p w14:paraId="4A84F9EE" w14:textId="77777777" w:rsidR="00205AB9" w:rsidRPr="00EE2291" w:rsidRDefault="00205AB9" w:rsidP="00205AB9">
      <w:pPr>
        <w:spacing w:line="360" w:lineRule="auto"/>
        <w:ind w:firstLine="993"/>
        <w:rPr>
          <w:rFonts w:ascii="Arial" w:hAnsi="Arial" w:cs="Arial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Arial"/>
              <w:bdr w:val="single" w:sz="8" w:space="0" w:color="auto" w:frame="1"/>
            </w:rPr>
            <m:t xml:space="preserve">      Sinistralidade  </m:t>
          </m:r>
          <m:d>
            <m:dPr>
              <m:ctrlPr>
                <w:rPr>
                  <w:rFonts w:ascii="Cambria Math" w:eastAsia="Calibri" w:hAnsi="Cambria Math" w:cs="Arial"/>
                  <w:bdr w:val="single" w:sz="8" w:space="0" w:color="auto" w:frame="1"/>
                </w:rPr>
              </m:ctrlPr>
            </m:dPr>
            <m:e>
              <m:f>
                <m:fPr>
                  <m:ctrlPr>
                    <w:rPr>
                      <w:rFonts w:ascii="Cambria Math" w:eastAsia="Calibri" w:hAnsi="Cambria Math" w:cs="Arial"/>
                      <w:bdr w:val="single" w:sz="8" w:space="0" w:color="auto" w:frame="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Despesa Assistencial-Coparticipação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bdr w:val="single" w:sz="8" w:space="0" w:color="auto" w:frame="1"/>
                    </w:rPr>
                    <m:t>Receitas Líquidas do Plano</m:t>
                  </m:r>
                </m:den>
              </m:f>
            </m:e>
          </m:d>
          <m:r>
            <w:rPr>
              <w:rFonts w:ascii="Cambria Math" w:hAnsi="Cambria Math" w:cs="Arial"/>
              <w:bdr w:val="single" w:sz="8" w:space="0" w:color="auto" w:frame="1"/>
            </w:rPr>
            <m:t>*100</m:t>
          </m:r>
        </m:oMath>
      </m:oMathPara>
    </w:p>
    <w:p w14:paraId="6A750669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iCs/>
        </w:rPr>
        <w:t>Onde,</w:t>
      </w:r>
    </w:p>
    <w:p w14:paraId="2683DA04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Despesa Assistencial</w:t>
      </w:r>
      <w:r w:rsidRPr="00EE2291">
        <w:rPr>
          <w:rFonts w:ascii="Arial" w:hAnsi="Arial" w:cs="Arial"/>
          <w:b/>
          <w:iCs/>
        </w:rPr>
        <w:t>:</w:t>
      </w:r>
      <w:r w:rsidRPr="00EE2291">
        <w:rPr>
          <w:rFonts w:ascii="Arial" w:hAnsi="Arial" w:cs="Arial"/>
          <w:iCs/>
        </w:rPr>
        <w:t xml:space="preserve"> Soma de todas as Despesas assistências do agrupamento com prestadores, fornecedores de serviços em saúde, reembolso, ressarcimento ao SUS e processos judiciais dessa natureza.</w:t>
      </w:r>
    </w:p>
    <w:p w14:paraId="2B4F8633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Coparticipação</w:t>
      </w:r>
      <w:r w:rsidRPr="00EE2291">
        <w:rPr>
          <w:rFonts w:ascii="Arial" w:hAnsi="Arial" w:cs="Arial"/>
          <w:b/>
          <w:iCs/>
        </w:rPr>
        <w:t>:</w:t>
      </w:r>
      <w:r w:rsidRPr="00EE2291">
        <w:rPr>
          <w:rFonts w:ascii="Arial" w:hAnsi="Arial" w:cs="Arial"/>
          <w:iCs/>
        </w:rPr>
        <w:t xml:space="preserve"> Soma de todos os valores de Coparticipação do agrupamento.</w:t>
      </w:r>
    </w:p>
    <w:p w14:paraId="24DC1597" w14:textId="77777777" w:rsidR="00205AB9" w:rsidRPr="00EE2291" w:rsidRDefault="00205AB9" w:rsidP="00205AB9">
      <w:pPr>
        <w:spacing w:line="360" w:lineRule="auto"/>
        <w:ind w:left="993"/>
        <w:jc w:val="both"/>
        <w:rPr>
          <w:rFonts w:ascii="Arial" w:hAnsi="Arial" w:cs="Arial"/>
          <w:iCs/>
        </w:rPr>
      </w:pPr>
      <w:r w:rsidRPr="00EE2291">
        <w:rPr>
          <w:rFonts w:ascii="Arial" w:hAnsi="Arial" w:cs="Arial"/>
          <w:b/>
          <w:bCs/>
          <w:iCs/>
        </w:rPr>
        <w:t>Receitas Líquidas do Plano</w:t>
      </w:r>
      <w:r w:rsidRPr="00EE2291">
        <w:rPr>
          <w:rFonts w:ascii="Arial" w:hAnsi="Arial" w:cs="Arial"/>
          <w:b/>
          <w:iCs/>
        </w:rPr>
        <w:t>:</w:t>
      </w:r>
      <w:r w:rsidRPr="00EE2291">
        <w:rPr>
          <w:rFonts w:ascii="Arial" w:hAnsi="Arial" w:cs="Arial"/>
          <w:iCs/>
        </w:rPr>
        <w:t xml:space="preserve"> Soma de todos os valores de Contraprestações do agrupamento.</w:t>
      </w:r>
    </w:p>
    <w:p w14:paraId="2A350B23" w14:textId="77777777" w:rsidR="00205AB9" w:rsidRPr="00EE2291" w:rsidRDefault="00205AB9" w:rsidP="00205AB9">
      <w:pPr>
        <w:pStyle w:val="PargrafodaLista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14:paraId="4FF909EB" w14:textId="77777777" w:rsidR="00205AB9" w:rsidRPr="00EE2291" w:rsidRDefault="00205AB9" w:rsidP="00205AB9">
      <w:pPr>
        <w:pStyle w:val="PargrafodaLista"/>
        <w:numPr>
          <w:ilvl w:val="0"/>
          <w:numId w:val="7"/>
        </w:numPr>
        <w:spacing w:after="0"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EE2291">
        <w:rPr>
          <w:rFonts w:ascii="Arial" w:hAnsi="Arial" w:cs="Arial"/>
          <w:sz w:val="24"/>
          <w:szCs w:val="24"/>
        </w:rPr>
        <w:t>Portanto, quando a sinistralidade do agrupamento superar o patamar de 70% (setenta por cento) o índice de reajuste contratual será composto pela soma do índice de reajuste técnico e do IGPM – Índice Geral de Preços de Mercado, (IRT% +IGPM).</w:t>
      </w:r>
    </w:p>
    <w:p w14:paraId="79AE9943" w14:textId="77777777" w:rsidR="00106F54" w:rsidRPr="00EE2291" w:rsidRDefault="00106F54" w:rsidP="00205AB9">
      <w:pPr>
        <w:spacing w:line="360" w:lineRule="auto"/>
        <w:jc w:val="both"/>
        <w:rPr>
          <w:rFonts w:ascii="Arial" w:hAnsi="Arial" w:cs="Arial"/>
        </w:rPr>
      </w:pPr>
    </w:p>
    <w:p w14:paraId="3A3A9C79" w14:textId="77777777" w:rsidR="008A2DA8" w:rsidRPr="00EE2291" w:rsidRDefault="008A2DA8" w:rsidP="00205AB9">
      <w:pPr>
        <w:spacing w:line="360" w:lineRule="auto"/>
        <w:jc w:val="both"/>
        <w:rPr>
          <w:rFonts w:ascii="Arial" w:eastAsia="Times New Roman" w:hAnsi="Arial" w:cs="Arial"/>
          <w:b/>
          <w:color w:val="000000"/>
        </w:rPr>
      </w:pPr>
      <w:r w:rsidRPr="00EE2291">
        <w:rPr>
          <w:rFonts w:ascii="Arial" w:eastAsia="Times New Roman" w:hAnsi="Arial" w:cs="Arial"/>
          <w:b/>
          <w:color w:val="000000"/>
        </w:rPr>
        <w:t xml:space="preserve">CLÁUSULA </w:t>
      </w:r>
      <w:r w:rsidR="00205AB9" w:rsidRPr="00EE2291">
        <w:rPr>
          <w:rFonts w:ascii="Arial" w:eastAsia="Times New Roman" w:hAnsi="Arial" w:cs="Arial"/>
          <w:b/>
          <w:color w:val="000000"/>
        </w:rPr>
        <w:t>QUARTA</w:t>
      </w:r>
    </w:p>
    <w:p w14:paraId="6C974DEC" w14:textId="14EE85EC" w:rsidR="00205AB9" w:rsidRPr="00EE2291" w:rsidRDefault="008A2DA8" w:rsidP="00205AB9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EE2291">
        <w:rPr>
          <w:rFonts w:ascii="Arial" w:eastAsia="Times New Roman" w:hAnsi="Arial" w:cs="Arial"/>
          <w:color w:val="000000"/>
        </w:rPr>
        <w:t>As demais disposições vigentes do contrato permanecem inalteradas por assim desejarem.</w:t>
      </w:r>
    </w:p>
    <w:p w14:paraId="03953EF7" w14:textId="77777777" w:rsidR="00205AB9" w:rsidRPr="00EE2291" w:rsidRDefault="00205AB9" w:rsidP="00205AB9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</w:p>
    <w:p w14:paraId="1C53822C" w14:textId="77777777" w:rsidR="008A2DA8" w:rsidRPr="00EE2291" w:rsidRDefault="008A2DA8" w:rsidP="00205AB9">
      <w:pPr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eastAsia="Times New Roman" w:hAnsi="Arial" w:cs="Arial"/>
          <w:color w:val="000000"/>
        </w:rPr>
        <w:t>E, por assim estarem de acordo com o aludido aditamento, firmam o presente em duas vias de igual teor e forma, na presença de duas testemunhas.</w:t>
      </w:r>
    </w:p>
    <w:p w14:paraId="4AB5974B" w14:textId="77777777" w:rsidR="000B1990" w:rsidRPr="00EE2291" w:rsidRDefault="000B1990" w:rsidP="00205AB9">
      <w:pPr>
        <w:spacing w:line="360" w:lineRule="auto"/>
        <w:rPr>
          <w:rFonts w:ascii="Arial" w:eastAsia="Times New Roman" w:hAnsi="Arial" w:cs="Arial"/>
          <w:color w:val="000000"/>
        </w:rPr>
      </w:pPr>
    </w:p>
    <w:p w14:paraId="3379F2C3" w14:textId="77777777" w:rsidR="008A2DA8" w:rsidRPr="00EE2291" w:rsidRDefault="008A2DA8" w:rsidP="00205AB9">
      <w:pPr>
        <w:spacing w:line="360" w:lineRule="auto"/>
        <w:rPr>
          <w:rFonts w:ascii="Arial" w:hAnsi="Arial" w:cs="Arial"/>
        </w:rPr>
      </w:pPr>
      <w:r w:rsidRPr="00EE2291">
        <w:rPr>
          <w:rFonts w:ascii="Arial" w:eastAsia="Times New Roman" w:hAnsi="Arial" w:cs="Arial"/>
          <w:color w:val="000000"/>
        </w:rPr>
        <w:t>Joinville,</w:t>
      </w:r>
      <w:r w:rsidR="00205AB9" w:rsidRPr="00EE2291">
        <w:rPr>
          <w:rFonts w:ascii="Arial" w:eastAsia="Times New Roman" w:hAnsi="Arial" w:cs="Arial"/>
          <w:color w:val="000000"/>
        </w:rPr>
        <w:t xml:space="preserve"> 01</w:t>
      </w:r>
      <w:r w:rsidR="005C5F58" w:rsidRPr="00EE2291">
        <w:rPr>
          <w:rFonts w:ascii="Arial" w:eastAsia="Times New Roman" w:hAnsi="Arial" w:cs="Arial"/>
          <w:color w:val="000000"/>
        </w:rPr>
        <w:t xml:space="preserve"> de </w:t>
      </w:r>
      <w:r w:rsidR="00205AB9" w:rsidRPr="00EE2291">
        <w:rPr>
          <w:rFonts w:ascii="Arial" w:eastAsia="Times New Roman" w:hAnsi="Arial" w:cs="Arial"/>
          <w:color w:val="000000"/>
        </w:rPr>
        <w:t>fevereiro</w:t>
      </w:r>
      <w:r w:rsidR="003F01F7" w:rsidRPr="00EE2291">
        <w:rPr>
          <w:rFonts w:ascii="Arial" w:eastAsia="Times New Roman" w:hAnsi="Arial" w:cs="Arial"/>
          <w:color w:val="000000"/>
        </w:rPr>
        <w:t xml:space="preserve"> de </w:t>
      </w:r>
      <w:r w:rsidR="00205AB9" w:rsidRPr="00EE2291">
        <w:rPr>
          <w:rFonts w:ascii="Arial" w:eastAsia="Times New Roman" w:hAnsi="Arial" w:cs="Arial"/>
          <w:color w:val="000000"/>
        </w:rPr>
        <w:t>2021.</w:t>
      </w:r>
    </w:p>
    <w:p w14:paraId="6862E67F" w14:textId="77777777" w:rsidR="008A2DA8" w:rsidRPr="00EE2291" w:rsidRDefault="008A2DA8" w:rsidP="00205AB9">
      <w:pPr>
        <w:spacing w:line="360" w:lineRule="auto"/>
        <w:rPr>
          <w:rFonts w:ascii="Arial" w:hAnsi="Arial" w:cs="Arial"/>
          <w:color w:val="000000"/>
        </w:rPr>
      </w:pPr>
    </w:p>
    <w:p w14:paraId="3531972A" w14:textId="77777777" w:rsidR="008A2DA8" w:rsidRPr="00EE2291" w:rsidRDefault="008A2DA8" w:rsidP="00205AB9">
      <w:pPr>
        <w:spacing w:line="360" w:lineRule="auto"/>
        <w:rPr>
          <w:rFonts w:ascii="Arial" w:hAnsi="Arial" w:cs="Arial"/>
          <w:color w:val="000000"/>
        </w:rPr>
      </w:pPr>
    </w:p>
    <w:p w14:paraId="4A80F7DB" w14:textId="77777777" w:rsidR="003834AA" w:rsidRPr="00EE2291" w:rsidRDefault="003834AA" w:rsidP="00205AB9">
      <w:pPr>
        <w:spacing w:line="360" w:lineRule="auto"/>
        <w:rPr>
          <w:rFonts w:ascii="Arial" w:hAnsi="Arial" w:cs="Arial"/>
          <w:color w:val="000000"/>
        </w:rPr>
      </w:pPr>
    </w:p>
    <w:p w14:paraId="50B15EFB" w14:textId="77777777" w:rsidR="008A2DA8" w:rsidRPr="00EE2291" w:rsidRDefault="008A2DA8" w:rsidP="00205AB9">
      <w:pPr>
        <w:spacing w:line="360" w:lineRule="auto"/>
        <w:jc w:val="center"/>
        <w:rPr>
          <w:rFonts w:ascii="Arial" w:hAnsi="Arial" w:cs="Arial"/>
          <w:color w:val="000000"/>
        </w:rPr>
      </w:pPr>
    </w:p>
    <w:p w14:paraId="3F959588" w14:textId="77777777" w:rsidR="008A2DA8" w:rsidRPr="00EE2291" w:rsidRDefault="008A2DA8" w:rsidP="00205AB9">
      <w:pPr>
        <w:spacing w:line="360" w:lineRule="auto"/>
        <w:jc w:val="center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>_________________________________________________________</w:t>
      </w:r>
    </w:p>
    <w:p w14:paraId="2C831702" w14:textId="77777777" w:rsidR="00EE2291" w:rsidRPr="00EE2291" w:rsidRDefault="00EE2291" w:rsidP="00205AB9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EE2291">
        <w:rPr>
          <w:rFonts w:ascii="Arial" w:eastAsia="Times New Roman" w:hAnsi="Arial" w:cs="Arial"/>
          <w:b/>
        </w:rPr>
        <w:t xml:space="preserve">FUNDO </w:t>
      </w:r>
      <w:r w:rsidR="00A0177F" w:rsidRPr="00EE2291">
        <w:rPr>
          <w:rFonts w:ascii="Arial" w:eastAsia="Times New Roman" w:hAnsi="Arial" w:cs="Arial"/>
          <w:b/>
        </w:rPr>
        <w:t>MUNICIP</w:t>
      </w:r>
      <w:r w:rsidRPr="00EE2291">
        <w:rPr>
          <w:rFonts w:ascii="Arial" w:eastAsia="Times New Roman" w:hAnsi="Arial" w:cs="Arial"/>
          <w:b/>
        </w:rPr>
        <w:t xml:space="preserve">AL DE ASSISTÊNCIA SOCIAL E MÉDICA DOS </w:t>
      </w:r>
    </w:p>
    <w:p w14:paraId="68964DC8" w14:textId="29AEA881" w:rsidR="008A2DA8" w:rsidRPr="00EE2291" w:rsidRDefault="00EE2291" w:rsidP="00205AB9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EE2291">
        <w:rPr>
          <w:rFonts w:ascii="Arial" w:eastAsia="Times New Roman" w:hAnsi="Arial" w:cs="Arial"/>
          <w:b/>
        </w:rPr>
        <w:t>SERVIDORES PÚBLICOS MUNICIPAIS</w:t>
      </w:r>
      <w:r w:rsidR="00A0177F" w:rsidRPr="00EE2291">
        <w:rPr>
          <w:rFonts w:ascii="Arial" w:eastAsia="Times New Roman" w:hAnsi="Arial" w:cs="Arial"/>
          <w:b/>
        </w:rPr>
        <w:t xml:space="preserve"> DE ARROIO TRINTA</w:t>
      </w:r>
    </w:p>
    <w:p w14:paraId="6932E784" w14:textId="77777777" w:rsidR="008A2DA8" w:rsidRPr="00EE2291" w:rsidRDefault="008A2DA8" w:rsidP="00205AB9">
      <w:pPr>
        <w:spacing w:line="360" w:lineRule="auto"/>
        <w:rPr>
          <w:rFonts w:ascii="Arial" w:hAnsi="Arial" w:cs="Arial"/>
          <w:b/>
          <w:color w:val="000000"/>
        </w:rPr>
      </w:pPr>
    </w:p>
    <w:p w14:paraId="60E8A870" w14:textId="77777777" w:rsidR="00973E39" w:rsidRPr="00EE2291" w:rsidRDefault="00973E39" w:rsidP="00205AB9">
      <w:pPr>
        <w:spacing w:line="360" w:lineRule="auto"/>
        <w:rPr>
          <w:rFonts w:ascii="Arial" w:hAnsi="Arial" w:cs="Arial"/>
          <w:b/>
          <w:color w:val="000000"/>
        </w:rPr>
      </w:pPr>
    </w:p>
    <w:p w14:paraId="5892C9B2" w14:textId="77777777" w:rsidR="008A2DA8" w:rsidRPr="00EE2291" w:rsidRDefault="008A2DA8" w:rsidP="00205AB9">
      <w:pPr>
        <w:spacing w:line="360" w:lineRule="auto"/>
        <w:rPr>
          <w:rFonts w:ascii="Arial" w:hAnsi="Arial" w:cs="Arial"/>
          <w:b/>
          <w:color w:val="000000"/>
        </w:rPr>
      </w:pPr>
    </w:p>
    <w:p w14:paraId="125098EB" w14:textId="77777777" w:rsidR="008A2DA8" w:rsidRPr="00EE2291" w:rsidRDefault="00F82B8D" w:rsidP="00205AB9">
      <w:pPr>
        <w:spacing w:line="360" w:lineRule="auto"/>
        <w:jc w:val="center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>_________________________________________________________</w:t>
      </w:r>
      <w:r w:rsidRPr="00EE2291">
        <w:rPr>
          <w:rFonts w:ascii="Arial" w:eastAsia="Times New Roman" w:hAnsi="Arial" w:cs="Arial"/>
          <w:b/>
          <w:color w:val="000000"/>
        </w:rPr>
        <w:br/>
      </w:r>
      <w:r w:rsidR="008A2DA8" w:rsidRPr="00EE2291">
        <w:rPr>
          <w:rFonts w:ascii="Arial" w:eastAsia="Times New Roman" w:hAnsi="Arial" w:cs="Arial"/>
          <w:b/>
          <w:color w:val="000000"/>
        </w:rPr>
        <w:t>UNIMED DO ESTADO DE SANTA CATARINA</w:t>
      </w:r>
    </w:p>
    <w:p w14:paraId="39072E63" w14:textId="77777777" w:rsidR="008A2DA8" w:rsidRPr="00EE2291" w:rsidRDefault="008A2DA8" w:rsidP="00205AB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638B5C96" w14:textId="77777777" w:rsidR="008A2DA8" w:rsidRPr="00EE2291" w:rsidRDefault="008A2DA8" w:rsidP="00205AB9">
      <w:pPr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 xml:space="preserve">TESTEMUNHAS            </w:t>
      </w:r>
    </w:p>
    <w:p w14:paraId="674DB110" w14:textId="77777777" w:rsidR="008A2DA8" w:rsidRPr="00EE2291" w:rsidRDefault="008A2DA8" w:rsidP="00205AB9">
      <w:pPr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 xml:space="preserve">                                          </w:t>
      </w:r>
    </w:p>
    <w:p w14:paraId="2A8E9FD6" w14:textId="77777777" w:rsidR="008A2DA8" w:rsidRPr="00EE2291" w:rsidRDefault="008A2DA8" w:rsidP="00205AB9">
      <w:pPr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3C96933C" w14:textId="4FE4F712" w:rsidR="008A2DA8" w:rsidRPr="00EE2291" w:rsidRDefault="008A2DA8" w:rsidP="00205AB9">
      <w:pPr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 xml:space="preserve">_______________________________     _____________________________                </w:t>
      </w:r>
    </w:p>
    <w:p w14:paraId="779B2B00" w14:textId="163205D4" w:rsidR="008A2DA8" w:rsidRPr="00EE2291" w:rsidRDefault="008A2DA8" w:rsidP="00205AB9">
      <w:pPr>
        <w:spacing w:line="360" w:lineRule="auto"/>
        <w:jc w:val="both"/>
        <w:rPr>
          <w:rFonts w:ascii="Arial" w:hAnsi="Arial" w:cs="Arial"/>
        </w:rPr>
      </w:pPr>
      <w:r w:rsidRPr="00EE2291">
        <w:rPr>
          <w:rFonts w:ascii="Arial" w:eastAsia="Times New Roman" w:hAnsi="Arial" w:cs="Arial"/>
          <w:b/>
          <w:color w:val="000000"/>
        </w:rPr>
        <w:t>Nome:</w:t>
      </w:r>
      <w:r w:rsidRPr="00EE2291">
        <w:rPr>
          <w:rFonts w:ascii="Arial" w:eastAsia="Times New Roman" w:hAnsi="Arial" w:cs="Arial"/>
          <w:b/>
          <w:color w:val="000000"/>
        </w:rPr>
        <w:tab/>
      </w:r>
      <w:r w:rsidR="00EE2291">
        <w:rPr>
          <w:rFonts w:ascii="Arial" w:eastAsia="Times New Roman" w:hAnsi="Arial" w:cs="Arial"/>
          <w:b/>
          <w:color w:val="000000"/>
        </w:rPr>
        <w:tab/>
      </w:r>
      <w:r w:rsidR="00EE2291">
        <w:rPr>
          <w:rFonts w:ascii="Arial" w:eastAsia="Times New Roman" w:hAnsi="Arial" w:cs="Arial"/>
          <w:b/>
          <w:color w:val="000000"/>
        </w:rPr>
        <w:tab/>
      </w:r>
      <w:r w:rsidR="00EE2291">
        <w:rPr>
          <w:rFonts w:ascii="Arial" w:eastAsia="Times New Roman" w:hAnsi="Arial" w:cs="Arial"/>
          <w:b/>
          <w:color w:val="000000"/>
        </w:rPr>
        <w:tab/>
      </w:r>
      <w:r w:rsidR="00EE2291">
        <w:rPr>
          <w:rFonts w:ascii="Arial" w:eastAsia="Times New Roman" w:hAnsi="Arial" w:cs="Arial"/>
          <w:b/>
          <w:color w:val="000000"/>
        </w:rPr>
        <w:tab/>
        <w:t xml:space="preserve">    </w:t>
      </w:r>
      <w:r w:rsidRPr="00EE2291">
        <w:rPr>
          <w:rFonts w:ascii="Arial" w:eastAsia="Times New Roman" w:hAnsi="Arial" w:cs="Arial"/>
          <w:b/>
          <w:color w:val="000000"/>
        </w:rPr>
        <w:t xml:space="preserve"> Nome:</w:t>
      </w:r>
    </w:p>
    <w:p w14:paraId="16CDA6C6" w14:textId="66AD4D0B" w:rsidR="008A2DA8" w:rsidRPr="00EE2291" w:rsidRDefault="008A2DA8" w:rsidP="00205AB9">
      <w:pPr>
        <w:spacing w:line="360" w:lineRule="auto"/>
        <w:rPr>
          <w:rFonts w:ascii="Arial" w:eastAsia="Times New Roman" w:hAnsi="Arial" w:cs="Arial"/>
          <w:b/>
          <w:color w:val="000000"/>
        </w:rPr>
      </w:pPr>
      <w:r w:rsidRPr="00EE2291">
        <w:rPr>
          <w:rFonts w:ascii="Arial" w:eastAsia="Times New Roman" w:hAnsi="Arial" w:cs="Arial"/>
          <w:b/>
          <w:color w:val="000000"/>
        </w:rPr>
        <w:t>CPF:</w:t>
      </w:r>
      <w:r w:rsidRPr="00EE2291">
        <w:rPr>
          <w:rFonts w:ascii="Arial" w:eastAsia="Times New Roman" w:hAnsi="Arial" w:cs="Arial"/>
          <w:b/>
          <w:color w:val="000000"/>
        </w:rPr>
        <w:tab/>
      </w:r>
      <w:r w:rsidRPr="00EE2291">
        <w:rPr>
          <w:rFonts w:ascii="Arial" w:eastAsia="Times New Roman" w:hAnsi="Arial" w:cs="Arial"/>
          <w:b/>
          <w:color w:val="000000"/>
        </w:rPr>
        <w:tab/>
      </w:r>
      <w:r w:rsidRPr="00EE2291">
        <w:rPr>
          <w:rFonts w:ascii="Arial" w:eastAsia="Times New Roman" w:hAnsi="Arial" w:cs="Arial"/>
          <w:b/>
          <w:color w:val="000000"/>
        </w:rPr>
        <w:tab/>
      </w:r>
      <w:r w:rsidRPr="00EE2291">
        <w:rPr>
          <w:rFonts w:ascii="Arial" w:eastAsia="Times New Roman" w:hAnsi="Arial" w:cs="Arial"/>
          <w:b/>
          <w:color w:val="000000"/>
        </w:rPr>
        <w:tab/>
      </w:r>
      <w:r w:rsidRPr="00EE2291">
        <w:rPr>
          <w:rFonts w:ascii="Arial" w:eastAsia="Times New Roman" w:hAnsi="Arial" w:cs="Arial"/>
          <w:b/>
          <w:color w:val="000000"/>
        </w:rPr>
        <w:tab/>
      </w:r>
      <w:r w:rsidRPr="00EE2291">
        <w:rPr>
          <w:rFonts w:ascii="Arial" w:eastAsia="Times New Roman" w:hAnsi="Arial" w:cs="Arial"/>
          <w:b/>
          <w:color w:val="000000"/>
        </w:rPr>
        <w:tab/>
      </w:r>
      <w:r w:rsidR="00EE2291">
        <w:rPr>
          <w:rFonts w:ascii="Arial" w:eastAsia="Times New Roman" w:hAnsi="Arial" w:cs="Arial"/>
          <w:b/>
          <w:color w:val="000000"/>
        </w:rPr>
        <w:t xml:space="preserve">    </w:t>
      </w:r>
      <w:r w:rsidRPr="00EE2291">
        <w:rPr>
          <w:rFonts w:ascii="Arial" w:eastAsia="Times New Roman" w:hAnsi="Arial" w:cs="Arial"/>
          <w:b/>
          <w:color w:val="000000"/>
        </w:rPr>
        <w:t xml:space="preserve"> CPF:</w:t>
      </w:r>
    </w:p>
    <w:sectPr w:rsidR="008A2DA8" w:rsidRPr="00EE2291" w:rsidSect="001544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99AA" w14:textId="77777777" w:rsidR="00B17BF6" w:rsidRDefault="00B17BF6" w:rsidP="00205AB9">
      <w:r>
        <w:separator/>
      </w:r>
    </w:p>
  </w:endnote>
  <w:endnote w:type="continuationSeparator" w:id="0">
    <w:p w14:paraId="7110E86B" w14:textId="77777777" w:rsidR="00B17BF6" w:rsidRDefault="00B17BF6" w:rsidP="002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82550"/>
      <w:docPartObj>
        <w:docPartGallery w:val="Page Numbers (Bottom of Page)"/>
        <w:docPartUnique/>
      </w:docPartObj>
    </w:sdtPr>
    <w:sdtEndPr/>
    <w:sdtContent>
      <w:p w14:paraId="5092572D" w14:textId="6EEF09C9" w:rsidR="00205AB9" w:rsidRDefault="002B798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27386F" w14:textId="77777777" w:rsidR="00205AB9" w:rsidRDefault="00205A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B9F5" w14:textId="77777777" w:rsidR="00B17BF6" w:rsidRDefault="00B17BF6" w:rsidP="00205AB9">
      <w:r>
        <w:separator/>
      </w:r>
    </w:p>
  </w:footnote>
  <w:footnote w:type="continuationSeparator" w:id="0">
    <w:p w14:paraId="7E49150E" w14:textId="77777777" w:rsidR="00B17BF6" w:rsidRDefault="00B17BF6" w:rsidP="002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7128B"/>
    <w:multiLevelType w:val="hybridMultilevel"/>
    <w:tmpl w:val="92D47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C2B68"/>
    <w:multiLevelType w:val="hybridMultilevel"/>
    <w:tmpl w:val="FE84D0E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3BD78FE"/>
    <w:multiLevelType w:val="hybridMultilevel"/>
    <w:tmpl w:val="4DA64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F526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E9C75AF"/>
    <w:multiLevelType w:val="hybridMultilevel"/>
    <w:tmpl w:val="1988BF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E3426"/>
    <w:multiLevelType w:val="hybridMultilevel"/>
    <w:tmpl w:val="2E56FF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937CE"/>
    <w:multiLevelType w:val="hybridMultilevel"/>
    <w:tmpl w:val="544073C8"/>
    <w:lvl w:ilvl="0" w:tplc="04160013">
      <w:start w:val="1"/>
      <w:numFmt w:val="upperRoman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97625C"/>
    <w:multiLevelType w:val="hybridMultilevel"/>
    <w:tmpl w:val="9BFC9338"/>
    <w:lvl w:ilvl="0" w:tplc="6F3238A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A8"/>
    <w:rsid w:val="0002495E"/>
    <w:rsid w:val="00082DF5"/>
    <w:rsid w:val="000B1990"/>
    <w:rsid w:val="00101C7A"/>
    <w:rsid w:val="00106F54"/>
    <w:rsid w:val="00121374"/>
    <w:rsid w:val="00131054"/>
    <w:rsid w:val="001452D6"/>
    <w:rsid w:val="001520D6"/>
    <w:rsid w:val="001544DF"/>
    <w:rsid w:val="001B03C0"/>
    <w:rsid w:val="001C2B99"/>
    <w:rsid w:val="001C492B"/>
    <w:rsid w:val="001C4E88"/>
    <w:rsid w:val="00205AB9"/>
    <w:rsid w:val="00223467"/>
    <w:rsid w:val="00266D9A"/>
    <w:rsid w:val="002B798F"/>
    <w:rsid w:val="002C793C"/>
    <w:rsid w:val="002E0467"/>
    <w:rsid w:val="00351565"/>
    <w:rsid w:val="003834AA"/>
    <w:rsid w:val="003A02E9"/>
    <w:rsid w:val="003A17BB"/>
    <w:rsid w:val="003F01F7"/>
    <w:rsid w:val="003F18E1"/>
    <w:rsid w:val="00446510"/>
    <w:rsid w:val="004711DA"/>
    <w:rsid w:val="004A75BA"/>
    <w:rsid w:val="004C6CBF"/>
    <w:rsid w:val="004F3420"/>
    <w:rsid w:val="005070D2"/>
    <w:rsid w:val="00514E4C"/>
    <w:rsid w:val="00526EF9"/>
    <w:rsid w:val="0053745E"/>
    <w:rsid w:val="00565D41"/>
    <w:rsid w:val="005747CF"/>
    <w:rsid w:val="005B4B87"/>
    <w:rsid w:val="005C5F58"/>
    <w:rsid w:val="00614890"/>
    <w:rsid w:val="00694069"/>
    <w:rsid w:val="006C0B37"/>
    <w:rsid w:val="006E2EE0"/>
    <w:rsid w:val="00700CE3"/>
    <w:rsid w:val="00714CF7"/>
    <w:rsid w:val="00731856"/>
    <w:rsid w:val="00742101"/>
    <w:rsid w:val="007562D7"/>
    <w:rsid w:val="007B5D10"/>
    <w:rsid w:val="00834CEF"/>
    <w:rsid w:val="00834EA1"/>
    <w:rsid w:val="008A2DA8"/>
    <w:rsid w:val="00936A09"/>
    <w:rsid w:val="00973E39"/>
    <w:rsid w:val="009773A5"/>
    <w:rsid w:val="009F1197"/>
    <w:rsid w:val="00A0177F"/>
    <w:rsid w:val="00A2085D"/>
    <w:rsid w:val="00A34364"/>
    <w:rsid w:val="00A470A9"/>
    <w:rsid w:val="00A708E1"/>
    <w:rsid w:val="00A966F7"/>
    <w:rsid w:val="00AA34B8"/>
    <w:rsid w:val="00AD082E"/>
    <w:rsid w:val="00AD75FA"/>
    <w:rsid w:val="00AF3E7E"/>
    <w:rsid w:val="00B054A3"/>
    <w:rsid w:val="00B17BF6"/>
    <w:rsid w:val="00B51CC1"/>
    <w:rsid w:val="00B86B8D"/>
    <w:rsid w:val="00B91296"/>
    <w:rsid w:val="00BD4067"/>
    <w:rsid w:val="00BE4E69"/>
    <w:rsid w:val="00BF7C45"/>
    <w:rsid w:val="00C04849"/>
    <w:rsid w:val="00CE1516"/>
    <w:rsid w:val="00D469E8"/>
    <w:rsid w:val="00D62564"/>
    <w:rsid w:val="00D76786"/>
    <w:rsid w:val="00E00B63"/>
    <w:rsid w:val="00E27457"/>
    <w:rsid w:val="00E37331"/>
    <w:rsid w:val="00EC4E03"/>
    <w:rsid w:val="00EC7C49"/>
    <w:rsid w:val="00ED6BB3"/>
    <w:rsid w:val="00EE2291"/>
    <w:rsid w:val="00F27F37"/>
    <w:rsid w:val="00F356C5"/>
    <w:rsid w:val="00F64125"/>
    <w:rsid w:val="00F82B8D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4CB7"/>
  <w15:docId w15:val="{64D687D8-84C0-43B8-B319-4D41161C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DA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qFormat/>
    <w:rsid w:val="00E00B63"/>
    <w:pPr>
      <w:suppressAutoHyphens w:val="0"/>
      <w:autoSpaceDE/>
      <w:autoSpaceDN/>
      <w:adjustRightInd/>
    </w:pPr>
    <w:rPr>
      <w:rFonts w:eastAsia="SimSun" w:cs="Mangal"/>
      <w:kern w:val="0"/>
    </w:rPr>
  </w:style>
  <w:style w:type="table" w:styleId="ListaClara-nfase3">
    <w:name w:val="Light List Accent 3"/>
    <w:basedOn w:val="Tabelanormal"/>
    <w:uiPriority w:val="61"/>
    <w:rsid w:val="00E00B6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elacomgrade">
    <w:name w:val="Table Grid"/>
    <w:basedOn w:val="Tabelanormal"/>
    <w:uiPriority w:val="59"/>
    <w:rsid w:val="002E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D6BB3"/>
    <w:pPr>
      <w:widowControl/>
      <w:suppressAutoHyphens w:val="0"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Corpodetexto">
    <w:name w:val="Body Text"/>
    <w:basedOn w:val="Normal"/>
    <w:link w:val="CorpodetextoChar"/>
    <w:semiHidden/>
    <w:rsid w:val="00ED6BB3"/>
    <w:pPr>
      <w:widowControl/>
      <w:suppressAutoHyphens w:val="0"/>
      <w:autoSpaceDE/>
      <w:autoSpaceDN/>
      <w:adjustRightInd/>
      <w:spacing w:after="120"/>
    </w:pPr>
    <w:rPr>
      <w:rFonts w:ascii="Trebuchet MS" w:eastAsia="Times" w:hAnsi="Trebuchet MS" w:cs="Times New Roman"/>
      <w:kern w:val="0"/>
      <w:sz w:val="20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ED6BB3"/>
    <w:rPr>
      <w:rFonts w:ascii="Trebuchet MS" w:eastAsia="Times" w:hAnsi="Trebuchet MS" w:cs="Times New Roman"/>
      <w:sz w:val="20"/>
      <w:szCs w:val="20"/>
      <w:lang w:eastAsia="pt-BR"/>
    </w:rPr>
  </w:style>
  <w:style w:type="paragraph" w:customStyle="1" w:styleId="Default">
    <w:name w:val="Default"/>
    <w:rsid w:val="00AD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51CC1"/>
    <w:pPr>
      <w:spacing w:after="120"/>
    </w:pPr>
    <w:rPr>
      <w:rFonts w:cs="Mangal"/>
      <w:sz w:val="16"/>
      <w:szCs w:val="1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51CC1"/>
    <w:rPr>
      <w:rFonts w:ascii="Liberation Serif" w:eastAsiaTheme="minorEastAsia" w:hAnsi="Liberation Serif" w:cs="Mangal"/>
      <w:kern w:val="1"/>
      <w:sz w:val="16"/>
      <w:szCs w:val="1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AB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B9"/>
    <w:rPr>
      <w:rFonts w:ascii="Tahoma" w:eastAsiaTheme="minorEastAsia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iPriority w:val="99"/>
    <w:semiHidden/>
    <w:unhideWhenUsed/>
    <w:rsid w:val="00205AB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05AB9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05AB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05AB9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F2CAC-0BCD-4F2A-9E1E-AC5D999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6996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gbalestrin</dc:creator>
  <cp:lastModifiedBy>User</cp:lastModifiedBy>
  <cp:revision>2</cp:revision>
  <cp:lastPrinted>2021-01-12T11:47:00Z</cp:lastPrinted>
  <dcterms:created xsi:type="dcterms:W3CDTF">2021-02-04T14:02:00Z</dcterms:created>
  <dcterms:modified xsi:type="dcterms:W3CDTF">2021-02-04T14:02:00Z</dcterms:modified>
</cp:coreProperties>
</file>