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1A569A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0071/2017 -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0023/2017 - PR</w:t>
      </w:r>
    </w:p>
    <w:p w:rsidR="00674880" w:rsidRPr="00674880" w:rsidRDefault="001A569A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22/06/2017</w:t>
      </w:r>
    </w:p>
    <w:p w:rsidR="00674880" w:rsidRDefault="001A569A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EMPRESAS PARA PRESTAÇÃO DE SERVIÇOS DE LIXAMENTO, CORREÇÃO DE RACHADURAS, PINTURAS EXTERNAS E INTERNAS DOS EDIFÍCIOS PÚBLICOS MUNICIPAIS DO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991BE1" w:rsidRDefault="001A569A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3222 - JGf COMÉRCIO E SERVIÇOS LTDA ME (15.640.462/0001-40)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871"/>
        <w:gridCol w:w="709"/>
        <w:gridCol w:w="692"/>
        <w:gridCol w:w="951"/>
        <w:gridCol w:w="1016"/>
      </w:tblGrid>
      <w:tr w:rsidR="00991BE1" w:rsidTr="001A56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Med.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Qtd.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Un.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Total. </w:t>
            </w:r>
          </w:p>
        </w:tc>
      </w:tr>
      <w:tr w:rsidR="00991BE1" w:rsidTr="001A56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27004 - CASA DA CULTURA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Lixamento e Pintura externa, perfazendo um total 460m², contendo paredes de madeira, aberturas, portas, cercas, área coberta, abas, detalhes ornamentais, sendo de responsabilidade do executante todos os materiais necessários, bem como tinta adequada e de p</w:t>
            </w:r>
            <w:r>
              <w:rPr>
                <w:rFonts w:ascii="Times New Roman" w:hAnsi="Times New Roman" w:cs="Times New Roman"/>
                <w:sz w:val="20"/>
              </w:rPr>
              <w:t>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andrecoor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2.801,40</w:t>
            </w:r>
          </w:p>
        </w:tc>
      </w:tr>
      <w:tr w:rsidR="00991BE1" w:rsidTr="001A56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27005 - GINÁSIO MUNICIPAL DE ESPORTES SENADOR WILSON PEDRO KLEINUBING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Lixamento, correção de rachaduras e pintura externa, perfazendo um total de 2.243m², contendo paredes de concreto, marquises, colunas, tijolos à vista, portas e aberturas metálicas, sendo de responsabilidade do executante todos os materiais necessários, be</w:t>
            </w:r>
            <w:r>
              <w:rPr>
                <w:rFonts w:ascii="Times New Roman" w:hAnsi="Times New Roman" w:cs="Times New Roman"/>
                <w:sz w:val="20"/>
              </w:rPr>
              <w:t>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andrecoor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2.243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13.772,02</w:t>
            </w:r>
          </w:p>
        </w:tc>
      </w:tr>
      <w:tr w:rsidR="00991BE1" w:rsidTr="001A56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27007 - ESCOLA PROJAF – PAVILHÃO 1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Lixamento, correção de rachaduras e pinturas internas e externas, perfazendo um total de 2.797m², contendo paredes de concreto, forro </w:t>
            </w:r>
            <w:r>
              <w:rPr>
                <w:rFonts w:ascii="Times New Roman" w:hAnsi="Times New Roman" w:cs="Times New Roman"/>
                <w:sz w:val="20"/>
              </w:rPr>
              <w:t>de madeira, abas de madeira, portas e aberturas metálicas e de madeira, sendo de responsabilidade do executante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andrecoor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2.797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16.614,18</w:t>
            </w:r>
          </w:p>
        </w:tc>
      </w:tr>
      <w:tr w:rsidR="00991BE1" w:rsidTr="001A56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27008 - ESCOLA PROJAF – </w:t>
            </w:r>
            <w:r>
              <w:rPr>
                <w:rFonts w:ascii="Times New Roman" w:hAnsi="Times New Roman" w:cs="Times New Roman"/>
                <w:sz w:val="20"/>
              </w:rPr>
              <w:t>PAVILHÃO 2</w:t>
            </w:r>
            <w:r>
              <w:rPr>
                <w:rFonts w:ascii="Times New Roman" w:hAnsi="Times New Roman" w:cs="Times New Roman"/>
                <w:sz w:val="20"/>
              </w:rPr>
              <w:br/>
              <w:t>Lixamento, correção de rachaduras e pinturas internas e externas, perfazendo um total de 1.074m², contendo paredes de concreto, forro de madeira, abas de madeira, portas e aberturas metálicas e de madeira, sendo de responsabilidade do executante</w:t>
            </w:r>
            <w:r>
              <w:rPr>
                <w:rFonts w:ascii="Times New Roman" w:hAnsi="Times New Roman" w:cs="Times New Roman"/>
                <w:sz w:val="20"/>
              </w:rPr>
              <w:t xml:space="preserve">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andrecoor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M²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1.074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6.272,16</w:t>
            </w:r>
          </w:p>
        </w:tc>
      </w:tr>
      <w:tr w:rsidR="00991BE1" w:rsidTr="001A56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27011 - CENTRO ADMINISTRATIVO MUNICIPAL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Lixamento, correção de rachaduras e pinturas externas, perfazendo um total de 958m², contendo paredes de concreto, abas de concreto, portas e aberturas e venezianas de madeira, colunas, chafariz externo, balaústres externos, lavação da cobertura em telhas </w:t>
            </w:r>
            <w:r>
              <w:rPr>
                <w:rFonts w:ascii="Times New Roman" w:hAnsi="Times New Roman" w:cs="Times New Roman"/>
                <w:sz w:val="20"/>
              </w:rPr>
              <w:t>de cimento, sendo de responsabilidade do executante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andrecoor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958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6.696,42</w:t>
            </w:r>
          </w:p>
        </w:tc>
      </w:tr>
      <w:tr w:rsidR="00991BE1" w:rsidTr="001A569A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46.156,18</w:t>
            </w:r>
          </w:p>
        </w:tc>
      </w:tr>
    </w:tbl>
    <w:p w:rsidR="00991BE1" w:rsidRDefault="001A569A">
      <w:r>
        <w:rPr>
          <w:rFonts w:ascii="Times New Roman" w:hAnsi="Times New Roman" w:cs="Times New Roman"/>
          <w:b/>
          <w:sz w:val="20"/>
        </w:rPr>
        <w:t xml:space="preserve"> 477 - CIDNEI CARLOS BALDO 01990695906 (19.878.377/0001-76)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27006 - MIRANTE DA APARECIDA </w:t>
            </w:r>
            <w:r>
              <w:rPr>
                <w:rFonts w:ascii="Times New Roman" w:hAnsi="Times New Roman" w:cs="Times New Roman"/>
                <w:sz w:val="20"/>
              </w:rPr>
              <w:br/>
              <w:t>Lixamento, correção de rachaduras e pinturas externas e internas, perfazendo um total de 938m², contendo mirante, dois quiosques e base de suste</w:t>
            </w:r>
            <w:r>
              <w:rPr>
                <w:rFonts w:ascii="Times New Roman" w:hAnsi="Times New Roman" w:cs="Times New Roman"/>
                <w:sz w:val="20"/>
              </w:rPr>
              <w:t>ntação de monumento dedicado à Padroeira do Brasil, sendo de responsabilidade do executante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Coral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5.065,20</w:t>
            </w:r>
          </w:p>
        </w:tc>
      </w:tr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27012 - POSTES DE CONCRETO JUNTO ÀS VIAS DO PERÍMET</w:t>
            </w:r>
            <w:r>
              <w:rPr>
                <w:rFonts w:ascii="Times New Roman" w:hAnsi="Times New Roman" w:cs="Times New Roman"/>
                <w:sz w:val="20"/>
              </w:rPr>
              <w:t>RO URBANO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Lixamento e pintura de 380 postes de sustentação da rede de energia elétrica junto às vias do perímetro urbano do município com média de 1,7m² cada poste, perfazendo um total 646m² nas cores verde, vermelho e branco, sendo de responsabilidade do </w:t>
            </w:r>
            <w:r>
              <w:rPr>
                <w:rFonts w:ascii="Times New Roman" w:hAnsi="Times New Roman" w:cs="Times New Roman"/>
                <w:sz w:val="20"/>
              </w:rPr>
              <w:t>executante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Coral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2.254,54</w:t>
            </w:r>
          </w:p>
        </w:tc>
      </w:tr>
      <w:tr w:rsidR="00991BE1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7.319,74</w:t>
            </w:r>
          </w:p>
        </w:tc>
      </w:tr>
    </w:tbl>
    <w:p w:rsidR="00991BE1" w:rsidRDefault="001A569A">
      <w:r>
        <w:rPr>
          <w:rFonts w:ascii="Times New Roman" w:hAnsi="Times New Roman" w:cs="Times New Roman"/>
          <w:b/>
          <w:sz w:val="20"/>
        </w:rPr>
        <w:t xml:space="preserve"> 3062 - CARAS REVESTIMENTOS EIRELI ME (21.089.749/0001-27)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27009 - ESCOLA PROJAF – PAVILHÃO 3 </w:t>
            </w:r>
            <w:r>
              <w:rPr>
                <w:rFonts w:ascii="Times New Roman" w:hAnsi="Times New Roman" w:cs="Times New Roman"/>
                <w:sz w:val="20"/>
              </w:rPr>
              <w:br/>
              <w:t>Lixamento, correção de rachaduras e pinturas internas e externas, perfazendo um total de 1.419m², contendo paredes de concreto, forro de madeira e de concreto, abas de madeira, mar</w:t>
            </w:r>
            <w:r>
              <w:rPr>
                <w:rFonts w:ascii="Times New Roman" w:hAnsi="Times New Roman" w:cs="Times New Roman"/>
                <w:sz w:val="20"/>
              </w:rPr>
              <w:t>quise externa, portas e aberturas metálicas e de madeira, colunas e balaústres externos, sendo de responsabilidade do executante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Dacar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1.419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9.223,50</w:t>
            </w:r>
          </w:p>
        </w:tc>
      </w:tr>
      <w:tr w:rsidR="00991BE1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9.223,50</w:t>
            </w:r>
          </w:p>
        </w:tc>
      </w:tr>
    </w:tbl>
    <w:p w:rsidR="00991BE1" w:rsidRDefault="001A569A">
      <w:r>
        <w:rPr>
          <w:rFonts w:ascii="Times New Roman" w:hAnsi="Times New Roman" w:cs="Times New Roman"/>
          <w:b/>
          <w:sz w:val="20"/>
        </w:rPr>
        <w:lastRenderedPageBreak/>
        <w:t xml:space="preserve"> 3227 - ILC Pinturas Residenciais LTDA ME (11.502.638/0001-47)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1"/>
        <w:gridCol w:w="4770"/>
        <w:gridCol w:w="949"/>
        <w:gridCol w:w="1228"/>
        <w:gridCol w:w="951"/>
        <w:gridCol w:w="1016"/>
      </w:tblGrid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991BE1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27010 - GINÁSIO DE ESPORTES ANTÔNIO NÓRDIO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Lixamento, correção de rachaduras e pinturas internas e externas, perfazendo um total de 1.951m², contendo paredes de tijolo à vista, abas de madeira, portas e aberturas metálicas, arquibancadas de madeira, quadra esportiva de madeira, sendo de responsabil</w:t>
            </w:r>
            <w:r>
              <w:rPr>
                <w:rFonts w:ascii="Times New Roman" w:hAnsi="Times New Roman" w:cs="Times New Roman"/>
                <w:sz w:val="20"/>
              </w:rPr>
              <w:t>idade do executante todos os materiais necessários, bem como tinta adequada e de primeira qualidade.</w:t>
            </w:r>
            <w:r>
              <w:rPr>
                <w:rFonts w:ascii="Times New Roman" w:hAnsi="Times New Roman" w:cs="Times New Roman"/>
                <w:sz w:val="20"/>
              </w:rPr>
              <w:br/>
              <w:t>SUVINIL/GLASURIT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1.951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6,70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13.071,70</w:t>
            </w:r>
          </w:p>
        </w:tc>
      </w:tr>
      <w:tr w:rsidR="00991BE1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1" w:rsidRDefault="001A56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13.071,70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12.1 – As notas fiscais deverão ser emitidas conforme Pré-empenho emitido pela Prefeitura Municipal.  12.1.1 – Quando da emissão das notas fiscais, as empresas deverão citar no corpo das notas (complemento) o número do Pré-empenho o qual foi fornecido à empresa.   12.1.2 – Deverá ser informado também o número da agência com respectiva conta corrente para depósito.  12.1.3 – A conta corrente deverá estar em nome da Empresa Proponente, não sendo aceito em nome de Pessoa Física.    12.2 - O pagamento será feito por transferência bancária, em até 10(dez) dias após a realização dos serviços, acompanhados da respectiva Nota Fiscal/Fatura, apresentadas na Tesouraria da Prefeitura.    12.3 - O número do CNPJ - Cadastro Nacional de Pessoa Jurídica - constante das notas fiscais/faturas deverá ser aquele fornecido na fase de habilitação (item 5.2.1, deste Edital).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 prazos para as prestações dos serviços, estão especificados no presente Edital.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local para a prestação dos serviços, está especificada em cada item do presente Edital.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1A569A">
        <w:rPr>
          <w:rFonts w:ascii="Times New Roman" w:hAnsi="Times New Roman" w:cs="Times New Roman"/>
          <w:sz w:val="20"/>
          <w:szCs w:val="20"/>
        </w:rPr>
        <w:t xml:space="preserve">22 de Junho de 2017. 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1A569A" w:rsidRDefault="001A569A" w:rsidP="001A56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1A569A">
        <w:rPr>
          <w:rFonts w:ascii="Times New Roman" w:hAnsi="Times New Roman" w:cs="Times New Roman"/>
          <w:b/>
          <w:sz w:val="20"/>
          <w:szCs w:val="20"/>
        </w:rPr>
        <w:t>CLAUDIO SPRICIGO</w:t>
      </w:r>
    </w:p>
    <w:bookmarkEnd w:id="0"/>
    <w:p w:rsidR="00674880" w:rsidRPr="00674880" w:rsidRDefault="00674880" w:rsidP="001A56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1A56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A569A"/>
    <w:rsid w:val="002647C3"/>
    <w:rsid w:val="002E6205"/>
    <w:rsid w:val="0035322B"/>
    <w:rsid w:val="004E5201"/>
    <w:rsid w:val="00674880"/>
    <w:rsid w:val="007D138B"/>
    <w:rsid w:val="00844D1E"/>
    <w:rsid w:val="008C0D4F"/>
    <w:rsid w:val="00991BE1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1059</Words>
  <Characters>5723</Characters>
  <Application>Microsoft Office Word</Application>
  <DocSecurity>0</DocSecurity>
  <Lines>47</Lines>
  <Paragraphs>13</Paragraphs>
  <ScaleCrop>false</ScaleCrop>
  <Company>....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2017-06-22T19:01:00Z</cp:lastPrinted>
  <dcterms:created xsi:type="dcterms:W3CDTF">2012-02-02T18:33:00Z</dcterms:created>
  <dcterms:modified xsi:type="dcterms:W3CDTF">2017-06-22T19:01:00Z</dcterms:modified>
</cp:coreProperties>
</file>