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0125/2019 -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0080/2019 - DL</w:t>
      </w: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e serviço para a Bomba de Recalque de Esgoto monofásica e trifásica, utilizada na Estação Elevatória de Tratamento de Efluentes</w:t>
      </w:r>
      <w:r w:rsidR="00105AFF">
        <w:rPr>
          <w:rFonts w:ascii="Times New Roman" w:eastAsia="Calibri" w:hAnsi="Times New Roman" w:cs="Times New Roman"/>
          <w:b/>
        </w:rPr>
        <w:t xml:space="preserve"> do Município de Arroio Trinta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ED5D6A" w:rsidRDefault="00AB01CE">
      <w:r>
        <w:rPr>
          <w:rFonts w:ascii="Times New Roman" w:eastAsia="Calibri" w:hAnsi="Times New Roman" w:cs="Times New Roman"/>
          <w:b/>
        </w:rPr>
        <w:t xml:space="preserve"> 3725 - FABIANO JACSON PERETTI (23.687.311/0001-76)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437"/>
        <w:gridCol w:w="736"/>
        <w:gridCol w:w="931"/>
        <w:gridCol w:w="974"/>
        <w:gridCol w:w="986"/>
      </w:tblGrid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32724 - CONSERTO/TROCA DE PEÇAS BOMBA SUBMERSÍVEL TRIFÁSICA - BOBINAGEM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234,00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234,00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32725 - CONSERTO/TROCA DE PEÇAS BOMBA SUBMERSÍVEL TRIFÁSICA- OLEO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95,00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32726 - CONSERTO/TROCA DE PEÇAS BOMBA SUBMERSÍVEL TRIFÁSICA - ROLAMENTOS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32727 - CONSERTO/TROCA DE PEÇAS BOMBA SUBMERSÍVEL MONOFÁSICA - BOBINAGEM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32728 - CONSERTO/TROCA DE PEÇAS BOMBA SUBMERSÍVEL TRIFÁSICA - PRENSA CABO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32729 - CONSERTO/TROCA DE PEÇAS BOMBA SUBMERSÍVEL TRIFÁSICA  - PARAFUSOS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32730 - CONSERTO/TROCA DE PEÇAS BOMBA SUBMERSÍVEL TRIFÁSICA  - PINTURA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32731 - CONSERTO/TROCA DE PEÇAS BOMBA SUBMERSÍVEL TRIFÁSICA  - MÃO DE OBRA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3,33333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32733 - CONSERTO DE BOMBA SUBMERSÍVEL MONOFÁSICA - BOBINAGEM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260,00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32734 - CONSERTO/TROCA DE PEÇAS BOMBA SUBMERSÍVEL MONOFÁSICA - TORNO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32735 - CONSERTO/TROCA DE PEÇAS BOMBA SUBMERSÍVEL MONFÁSICA - PINTURA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32736 - CONSERTO/TROCA DE PEÇAS BOMBA SUBMERSÍVEL MONOFÁSICA - OLEO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32737 - CONSERTO/TROCA DE PEÇAS BOMBA SUBMERSÍVEL MONOFÁSICA - CABO 13,50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13,50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32738 - CONSERTO/TROCA DE PEÇAS BOMBA SUBMERSÍVEL MONOFÁSICA - ANEL ORING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32739 - CONSERTO/TROCA DE PEÇAS BOMBA SUBMERSÍVEL MONOFÁSICA - ROLAMENTOS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62,00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32740 - CONSERTO/TROCA DE PEÇAS BOMBA SUBMERSÍVEL MONOFASICA - SELO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133,00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32741 - CONSERTO/TROCA DE PEÇAS BOMBA SUBMERSÍVEL MONOFÁSICA - PLATINADO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66,00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32742 - CONSERTO/TROCA DE PEÇAS BOMBA SUBMERSÍVEL MONOFÁSICA - CAPACITOR 25,50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25,50</w:t>
            </w:r>
          </w:p>
        </w:tc>
      </w:tr>
      <w:tr w:rsidR="00105AFF" w:rsidTr="00AB01C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32743 - MÃO DE OBRA/ SERVIÇO DE CONSERTO DE BOMBA MONOFÁSICA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F" w:rsidRDefault="00105AFF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255,00</w:t>
            </w:r>
          </w:p>
        </w:tc>
      </w:tr>
      <w:tr w:rsidR="00ED5D6A" w:rsidTr="00105AFF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A" w:rsidRDefault="00AB01CE" w:rsidP="00105AF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A" w:rsidRDefault="00AB01CE" w:rsidP="00105AF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1.865,00</w:t>
            </w:r>
          </w:p>
        </w:tc>
      </w:tr>
    </w:tbl>
    <w:p w:rsidR="00D50B9B" w:rsidRPr="00325335" w:rsidRDefault="00D64C9B" w:rsidP="00AB0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AB0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30</w:t>
      </w:r>
      <w:r w:rsidR="00105AFF">
        <w:rPr>
          <w:rFonts w:ascii="Times New Roman" w:hAnsi="Times New Roman" w:cs="Times New Roman"/>
        </w:rPr>
        <w:t xml:space="preserve"> de julho de </w:t>
      </w:r>
      <w:r w:rsidRPr="00325335">
        <w:rPr>
          <w:rFonts w:ascii="Times New Roman" w:hAnsi="Times New Roman" w:cs="Times New Roman"/>
        </w:rPr>
        <w:t>2019.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01CE" w:rsidRPr="00325335" w:rsidRDefault="00AB01CE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AB0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5AFF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AB01CE"/>
    <w:rsid w:val="00C4633A"/>
    <w:rsid w:val="00C73AC6"/>
    <w:rsid w:val="00D50B9B"/>
    <w:rsid w:val="00D64C9B"/>
    <w:rsid w:val="00D815AD"/>
    <w:rsid w:val="00DD31D1"/>
    <w:rsid w:val="00E266EE"/>
    <w:rsid w:val="00ED5D6A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E93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2019-07-30T18:14:00Z</dcterms:modified>
</cp:coreProperties>
</file>